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33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救济渠道</w:t>
      </w:r>
    </w:p>
    <w:p w14:paraId="10848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B321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公民、法人或者其他组织认为行政行为侵犯其合法权益的，可以自知道或者应知道该行政行为之日起六十日内向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新疆生产建设兵团第三师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提出行政复议申请。或者自知道或者应知道该行政行为之日起六个月内向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新疆生产建设兵团图木休克垦区人民法院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提起行政诉讼。</w:t>
      </w:r>
    </w:p>
    <w:p w14:paraId="3AD46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行政行为属于《中华人民共和国行政复议法》第二十三条规定的情形，救济渠道为民、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法人或者其他组织认为行政行为侵犯其合法权益的，应当自知道或者应知道该行政行为之日起六十日内向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新疆生产建设兵团第三师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提出行政复议申请。</w:t>
      </w:r>
    </w:p>
    <w:p w14:paraId="58B67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99E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B34F6"/>
    <w:rsid w:val="16F35FC9"/>
    <w:rsid w:val="1DC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left="0" w:leftChars="0" w:firstLine="420" w:firstLineChars="200"/>
    </w:pPr>
    <w:rPr>
      <w:rFonts w:ascii="仿宋_GB2312" w:hAns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2025-05-31T05:06:00Z</dcterms:created>
  <dc:creator>宋健</dc:creator>
  <cp:lastModifiedBy>@_@</cp:lastModifiedBy>
  <dcterms:modified xsi:type="dcterms:W3CDTF">2025-07-03T14:02:38Z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5347CAB6693F494A9A7CD0FF76DC3304_12</vt:lpwstr>
  </property>
  <property fmtid="{D5CDD505-2E9C-101B-9397-08002B2CF9AE}" pid="4" name="KSOTemplateDocerSaveRecord">
    <vt:lpwstr>eyJoZGlkIjoiZjZkNzc1OTlmMjNiMWFmMmRjM2EzMjFmNDc3MTYzZDkiLCJ1c2VySWQiOiIxMzg2MTkwMzUxIn0=</vt:lpwstr>
  </property>
</Properties>
</file>