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6AA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第三师图木舒克市城市管理局涉企行政</w:t>
      </w:r>
    </w:p>
    <w:p w14:paraId="5172A5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检查标准</w:t>
      </w:r>
    </w:p>
    <w:p w14:paraId="5CE976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79CF85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CESI楷体-GB2312" w:cstheme="minorEastAsia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CESI楷体-GB2312" w:cstheme="minorEastAsia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（一）</w:t>
      </w:r>
      <w:r>
        <w:rPr>
          <w:rFonts w:hint="eastAsia" w:ascii="Times New Roman" w:hAnsi="Times New Roman" w:eastAsia="CESI楷体-GB2312" w:cstheme="minorEastAsia"/>
          <w:i w:val="0"/>
          <w:iCs w:val="0"/>
          <w:caps w:val="0"/>
          <w:color w:val="333333"/>
          <w:spacing w:val="0"/>
          <w:kern w:val="0"/>
          <w:sz w:val="28"/>
          <w:szCs w:val="24"/>
          <w:shd w:val="clear" w:fill="FFFFFF"/>
          <w:lang w:val="en-US" w:eastAsia="zh-CN" w:bidi="ar"/>
        </w:rPr>
        <w:t>大型户外广告经营企业检查。</w:t>
      </w:r>
    </w:p>
    <w:p w14:paraId="277C208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CESI仿宋-GB2312" w:cs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CESI仿宋-GB2312" w:cs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标准：1.审批合规。设置大型户外广告是否经过市容环境卫生行政主管部门审批，符合《城市户外广告和招牌设施技术标准》（CJJ/T149-2021）的等技术规范；2.安全检测。设施需定期检测，符合《钢结构工程施工质量验收标准》3.日常管理，禁止非法转让许可证、擅自涂改广告内容。</w:t>
      </w:r>
    </w:p>
    <w:p w14:paraId="1EA86D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CESI楷体-GB2312" w:cstheme="minorEastAsia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CESI楷体-GB2312" w:cstheme="minorEastAsia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（二）城市生活垃圾经营企业检查。</w:t>
      </w:r>
    </w:p>
    <w:p w14:paraId="6E623E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CESI仿宋-GB2312" w:cs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CESI仿宋-GB2312" w:cs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标准：按照国家相关标准规范接受、处理生活垃圾，配备符合要求的生活垃圾处理设施、设备，保持正常运转；建立处理台账并及时报送信息。</w:t>
      </w:r>
    </w:p>
    <w:p w14:paraId="238A60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CESI楷体-GB2312" w:cstheme="minorEastAsia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CESI楷体-GB2312" w:cstheme="minorEastAsia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（三）建筑垃圾经营企业检查。</w:t>
      </w:r>
    </w:p>
    <w:p w14:paraId="240ED0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CESI仿宋-GB2312" w:cs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CESI仿宋-GB2312" w:cs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标准：1.运输管理，运输车辆需全密闭、备案。2.处置核准，持有资质证书。3.行为规范，执行情况，运输过程中有无违规行为。</w:t>
      </w:r>
    </w:p>
    <w:p w14:paraId="65B18B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CESI楷体-GB2312" w:cstheme="minorEastAsia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CESI楷体-GB2312" w:cstheme="minorEastAsia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（四）物业服务企业检查。</w:t>
      </w:r>
    </w:p>
    <w:p w14:paraId="661B7B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</w:t>
      </w:r>
      <w:r>
        <w:rPr>
          <w:rFonts w:hint="eastAsia" w:ascii="Times New Roman" w:hAnsi="Times New Roman" w:eastAsia="CESI仿宋-GB2312" w:cs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标准：1.费用透明。2.合规经营，没有擅自占用公共区域违规收取费用。3.服务质量符合《住宅物业服务标准》（XJJ056-2013）要求。</w:t>
      </w:r>
    </w:p>
    <w:p w14:paraId="7F2428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7689A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CESI仿宋-GB2312" w:cstheme="minorEastAsia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CESI仿宋-GB2312" w:cstheme="minorEastAsia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 xml:space="preserve">第三师图木舒克市城市管理局    </w:t>
      </w:r>
    </w:p>
    <w:p w14:paraId="5E072F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Times New Roman" w:hAnsi="Times New Roman" w:eastAsia="CESI仿宋-GB2312" w:cstheme="minorEastAsia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 xml:space="preserve">2025年7月2日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7211"/>
    <w:rsid w:val="182C240D"/>
    <w:rsid w:val="1C7F196F"/>
    <w:rsid w:val="26AE17E0"/>
    <w:rsid w:val="2FCBD6E3"/>
    <w:rsid w:val="3FF7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1670</Words>
  <Characters>1674</Characters>
  <Lines>0</Lines>
  <Paragraphs>0</Paragraphs>
  <TotalTime>19</TotalTime>
  <ScaleCrop>false</ScaleCrop>
  <LinksUpToDate>false</LinksUpToDate>
  <CharactersWithSpaces>1687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2025-05-23T03:45:00Z</dcterms:created>
  <dc:creator>Administrator</dc:creator>
  <cp:lastModifiedBy>一生无言血</cp:lastModifiedBy>
  <dcterms:modified xsi:type="dcterms:W3CDTF">2025-09-11T10:44:59Z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eyJoZGlkIjoiYWMzM2U3ZTlhYThkMDU4NGJhODE5ZjkzZjliNmU4ZmEiLCJ1c2VySWQiOiI0MzExNzM0ODUifQ==</vt:lpwstr>
  </property>
  <property fmtid="{D5CDD505-2E9C-101B-9397-08002B2CF9AE}" pid="4" name="ICV">
    <vt:lpwstr>C2D3079F70024B0FBEAF2FDE6D7FE047_13</vt:lpwstr>
  </property>
</Properties>
</file>