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D3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第三师图木舒克市贯彻落实</w:t>
      </w:r>
      <w:r>
        <w:rPr>
          <w:rFonts w:hint="eastAsia" w:ascii="方正小标宋简体" w:hAnsi="方正小标宋简体" w:eastAsia="方正小标宋简体" w:cs="方正小标宋简体"/>
          <w:sz w:val="44"/>
          <w:szCs w:val="44"/>
          <w:lang w:val="en-US" w:eastAsia="zh-CN"/>
        </w:rPr>
        <w:t>兵团</w:t>
      </w:r>
      <w:r>
        <w:rPr>
          <w:rFonts w:hint="eastAsia" w:ascii="方正小标宋简体" w:hAnsi="方正小标宋简体" w:eastAsia="方正小标宋简体" w:cs="方正小标宋简体"/>
          <w:sz w:val="44"/>
          <w:szCs w:val="44"/>
        </w:rPr>
        <w:t>长期护理保险制度</w:t>
      </w:r>
      <w:r>
        <w:rPr>
          <w:rFonts w:hint="eastAsia" w:ascii="方正小标宋简体" w:hAnsi="方正小标宋简体" w:eastAsia="方正小标宋简体" w:cs="方正小标宋简体"/>
          <w:sz w:val="44"/>
          <w:szCs w:val="44"/>
          <w:lang w:val="en-US" w:eastAsia="zh-CN"/>
        </w:rPr>
        <w:t>的实施</w:t>
      </w:r>
      <w:r>
        <w:rPr>
          <w:rFonts w:hint="eastAsia" w:ascii="方正小标宋简体" w:hAnsi="方正小标宋简体" w:eastAsia="方正小标宋简体" w:cs="方正小标宋简体"/>
          <w:sz w:val="44"/>
          <w:szCs w:val="44"/>
        </w:rPr>
        <w:t>方案</w:t>
      </w:r>
    </w:p>
    <w:p w14:paraId="2B0553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1C9189D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74A079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为贯彻落实兵团长期护理保险制度，积极应对人口老龄化，推动解决师市失能人员长期护理基本保障需求，根据《兵团办公厅关于印发</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兵团建立长期护理保险制度实施方案〉的通知》（新兵办发</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14号）规定，结合师市实际，制定本方案。</w:t>
      </w:r>
    </w:p>
    <w:p w14:paraId="5A8BC3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6FA59B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以习近平新时代中国特色社会主义思想为指导，全面贯彻党的二十大和二十届历次全会精神，坚持以人民为中心的发展思想，以保障失能人员基本护理需求为核心，以健全制度机制、规范经办服务、提升保障效能为主线，统筹推进长期</w:t>
      </w:r>
      <w:bookmarkStart w:id="0" w:name="_GoBack"/>
      <w:bookmarkEnd w:id="0"/>
      <w:r>
        <w:rPr>
          <w:rFonts w:hint="eastAsia" w:ascii="Times New Roman" w:hAnsi="Times New Roman" w:eastAsia="仿宋_GB2312" w:cs="仿宋_GB2312"/>
          <w:sz w:val="32"/>
          <w:szCs w:val="32"/>
          <w:lang w:val="en-US" w:eastAsia="zh-CN"/>
        </w:rPr>
        <w:t>护理保险制度落地实施。持续完善筹资机制、失能评定、待遇保障、服务供给、监督管理全链条体系，做好与基本医疗保险、大病保险、社会救助、养老服务等政策有效衔接，着力破解失能群体长期照护难题，切实兜牢民生保障底线，不断增强师市职工群众的获得感、幸福感、安全感，为师市经济社会高质量发展提供坚实保障。</w:t>
      </w:r>
    </w:p>
    <w:p w14:paraId="33278C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二、工作目标</w:t>
      </w:r>
    </w:p>
    <w:p w14:paraId="74487D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兵团统一制度框架和工作部署，坚持“覆盖全民、统筹城乡、公平统一、安全规范、可持续”的要求，用3年左右时间，基本建立符合师市实际的长期护理保险制度。2026年，将师市范围内用人单位（包括企业、事业单位、机关、社会组织，下同）以及单位职工、退休人员、灵活就业人员等纳入长期护理保险制度保障范围。2027年，将未就业城乡居民纳入长期护理保险覆盖范围。2028年，建立权责清晰、筹资稳定、评定规范、服务优质、监管严密、运行高效的长期护理保险制度体系。</w:t>
      </w:r>
    </w:p>
    <w:p w14:paraId="6B1EEF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三、参保范围</w:t>
      </w:r>
    </w:p>
    <w:p w14:paraId="2908DD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参加师市基本医疗保险的全体参保人员（含城镇职工基本医疗保险参保人员、城乡居民基本医疗保险参保人员），统一纳入师市长期护理保险参保范围，实行全员参保、应保尽保。长期护理保险参保范围与基本医疗保险参保范围保持一致，参保登记、变更、注销等经办业务与基本医疗保险同步办理，实现参保信息实时共享、动态管理，杜绝重复参保、漏参断保等情况，确保制度覆盖无死角、保障人群无遗漏。</w:t>
      </w:r>
    </w:p>
    <w:p w14:paraId="40ECB8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四、筹资机制</w:t>
      </w:r>
    </w:p>
    <w:p w14:paraId="428C59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长期护理保险为独立险种，职工和居民筹集资金统一建账、统筹使用，与基本医疗保险共同参保、共同缴费，从师市级统筹逐步推进至兵团级统筹。长期护理保险遵循“多方筹资、责任共担、以收定支、收支平衡、略有结余”的原则，健全单位、个人、政府、社会等多元筹资渠道。按照国家、兵团长期护理保险基准费率制度，师市长期护理保险费率统一为0.3%，筹资标准根据兵团统一要求、师市经济发展水平、医保基金运行情况、人口老龄化程度及护理保障需求动态调整。</w:t>
      </w:r>
    </w:p>
    <w:p w14:paraId="2125B2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（一）单位职工。</w:t>
      </w:r>
      <w:r>
        <w:rPr>
          <w:rFonts w:hint="eastAsia" w:ascii="Times New Roman" w:hAnsi="Times New Roman" w:eastAsia="仿宋_GB2312" w:cs="仿宋_GB2312"/>
          <w:sz w:val="32"/>
          <w:szCs w:val="32"/>
          <w:lang w:val="en-US" w:eastAsia="zh-CN"/>
        </w:rPr>
        <w:t>单位职工按月缴费，在职职工缴费费率由用人单位和个人按同比例分担，均为0.15%，缴费基数与职工基本医疗保险保持一致，用人单位缴费基数为职工工资总额，个人缴费基数为本人工资收入，由用人单位代扣代缴。在师市基本医疗保险统筹基金累计结余可支付月数不少于12个月且不出现当期赤字的基础上，将职工基本医疗保险单位费率降低0.15%，调整部分用作长期护理保险单位费率。退休人员由个人缴费，原用人单位不缴费，个人缴费费率为0.15%，缴费基数为本人基本养老金，可由医保部门从其职工基本医疗保险个人账户中代扣代缴。鼓励灵活就业人员、新就业形态人员按照单位职工政策参保缴费，缴费费率为0.3%，缴费基数为新疆维吾尔自治区上年度社会平均工资的60%，也可选择按未就业城乡居民参保政策参保缴费。</w:t>
      </w:r>
    </w:p>
    <w:p w14:paraId="512F2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（二）未就业城乡居民。</w:t>
      </w:r>
      <w:r>
        <w:rPr>
          <w:rFonts w:hint="eastAsia" w:ascii="Times New Roman" w:hAnsi="Times New Roman" w:eastAsia="仿宋_GB2312" w:cs="仿宋_GB2312"/>
          <w:sz w:val="32"/>
          <w:szCs w:val="32"/>
          <w:lang w:val="en-US" w:eastAsia="zh-CN"/>
        </w:rPr>
        <w:t>未就业城乡居民实行按年缴费，由个人和财政按照1:1比例分担，财政补助由中央财政和地方财政共同承担，具体补助办法由兵团相关部门另行确定。2027年缴费费率合计为0.15%，2028年为0.2%，2029年为0.25%，2030年达到0.3%。缴费基数为新疆维吾尔自治区上年度城乡居民人均可支配收入，具体缴费标准由医保部门向税务部门提供。师市财政对符合条件的困难群众个人缴费部分实行分类资助，对特困人员给予全额资助，对低保对象、返贫致贫人口、低保边缘家庭中的老年人（60周岁及以上）以及过渡期内纳入监测范围的易返贫致贫人口给予80%的定额资助。18周岁以下人员跟随父母或其他法定抚养人等参加长期护理保险，不单独筹资。孤儿、事实无人抚养儿童等无法跟从参保的，由民政部门认定后视同在户籍地参保并享受长期护理保险待遇。</w:t>
      </w:r>
    </w:p>
    <w:p w14:paraId="7D1A03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职工基本医疗保险个人账户可以用于本人及近亲属（包括配偶、父母、子女、兄弟姐妹、祖父母、外祖父母、孙子女、外孙子女）参加长期护理保险的个人缴费，相关代缴信息由医保部门推送税务部门。</w:t>
      </w:r>
    </w:p>
    <w:p w14:paraId="18D147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五、待遇保障</w:t>
      </w:r>
    </w:p>
    <w:p w14:paraId="29FE65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（一）明确保障对象。</w:t>
      </w:r>
      <w:r>
        <w:rPr>
          <w:rFonts w:hint="eastAsia" w:ascii="Times New Roman" w:hAnsi="Times New Roman" w:eastAsia="仿宋_GB2312" w:cs="仿宋_GB2312"/>
          <w:sz w:val="32"/>
          <w:szCs w:val="32"/>
          <w:lang w:val="en-US" w:eastAsia="zh-CN"/>
        </w:rPr>
        <w:t>按规定参保缴费且失能状态长期持续6个月以上，经申请通过评估认定的失能人员，可按规定享受长期护理保险相关待遇。长期护理保险制度起步阶段保障重度失能人员，按照国家和兵团统一部署，逐步扩大待遇保障对象范围。</w:t>
      </w:r>
    </w:p>
    <w:p w14:paraId="1041A0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（二）明确基金支付范围。</w:t>
      </w:r>
      <w:r>
        <w:rPr>
          <w:rFonts w:hint="eastAsia" w:ascii="Times New Roman" w:hAnsi="Times New Roman" w:eastAsia="仿宋_GB2312" w:cs="仿宋_GB2312"/>
          <w:sz w:val="32"/>
          <w:szCs w:val="32"/>
          <w:lang w:val="en-US" w:eastAsia="zh-CN"/>
        </w:rPr>
        <w:t>长期护理保险基金主要用于支付符合规定的长期护理服务机构和人员提供长期护理基本服务所发生的费用，原则上不直接向失能人员发放现金，边境、偏远团场等地区根据需要，可开展亲情照护服务并按规定支付待遇。严格执行国家统一制定的长期护理保险服务项目目录、项目内涵和服务要求，机构床位费、膳食费等非护理服务费用以及应由基本医疗保险支付的医药费用和其他法律法规规定不予支付的，长期护理保险基金不予支付。支持居家护理、社区护理或机构护理等服务提供方式，符合条件的失能人员可根据不同护理需求自愿选择。</w:t>
      </w:r>
    </w:p>
    <w:p w14:paraId="7F30CC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（三）明确待遇标准。</w:t>
      </w:r>
      <w:r>
        <w:rPr>
          <w:rFonts w:hint="eastAsia" w:ascii="Times New Roman" w:hAnsi="Times New Roman" w:eastAsia="仿宋_GB2312" w:cs="仿宋_GB2312"/>
          <w:sz w:val="32"/>
          <w:szCs w:val="32"/>
          <w:lang w:val="en-US" w:eastAsia="zh-CN"/>
        </w:rPr>
        <w:t>长期护理保险待遇享受不设起付标准。符合规定的长期护理保险服务费用，按未就业城乡居民参保政策参保的，居家护理、社区护理、机构护理基金支付比例分别为55%、55%、50%；按单位职工参保政策参保的，居家护理、社区护理、机构护理基金支付比例分别为75%、75%、70%。退休人员享受单位职工参保待遇。基金年度最高支付限额不超过新疆维吾尔自治区上年度城乡居民人均可支配收入的50%，重度失能Ⅲ级、Ⅱ级、Ⅰ级之间最高支付限额逐级递减5%，根据城乡居民人均可支配收入、基金运行等实际情况，实行动态调整。</w:t>
      </w:r>
    </w:p>
    <w:p w14:paraId="318AD0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（四）待遇变更和终止。</w:t>
      </w:r>
      <w:r>
        <w:rPr>
          <w:rFonts w:hint="eastAsia" w:ascii="Times New Roman" w:hAnsi="Times New Roman" w:eastAsia="仿宋_GB2312" w:cs="仿宋_GB2312"/>
          <w:sz w:val="32"/>
          <w:szCs w:val="32"/>
          <w:lang w:val="en-US" w:eastAsia="zh-CN"/>
        </w:rPr>
        <w:t>参保类别发生变化的，次月起按对应参保类别享受相应长期护理保险待遇。失能人员经申请评估为新的失能等级的，从出具评估结论书的次日起按照新的失能等级享受长期护理保险待遇。失能人员护理方式发生变更的，从次日起按变更后的护理方式享受长期护理保险待遇。失能人员死亡的，从死亡次日起终止享受长期护理保险待遇。</w:t>
      </w:r>
    </w:p>
    <w:p w14:paraId="4DD4DE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已享受长期护理保险待遇的失能人员因病情需要住院治疗的，住院期间暂停享受长期护理保险待遇，从出院当日起恢复长期护理保险待遇。</w:t>
      </w:r>
    </w:p>
    <w:p w14:paraId="536B95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（五）建立激励约束机制。</w:t>
      </w:r>
      <w:r>
        <w:rPr>
          <w:rFonts w:hint="eastAsia" w:ascii="Times New Roman" w:hAnsi="Times New Roman" w:eastAsia="仿宋_GB2312" w:cs="仿宋_GB2312"/>
          <w:sz w:val="32"/>
          <w:szCs w:val="32"/>
          <w:lang w:val="en-US" w:eastAsia="zh-CN"/>
        </w:rPr>
        <w:t>除新生儿、退役军人等特殊群体外，对未在长期护理保险制度启动时初次参保，以及中断缴费后再次参保的，设置长期护理保险待遇固定等待期6个月。未就业城乡居民连续缴费满4年的，享受长期护理保险待遇的基金支付比例提高5%，基金支付比例达到55%；断保后再次参保的，连续参保年数重新计算。师市长期护理保险转移接续参照基本医疗保险转移接续机制执行。</w:t>
      </w:r>
    </w:p>
    <w:p w14:paraId="7AEE87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（六）做好政策衔接。</w:t>
      </w:r>
      <w:r>
        <w:rPr>
          <w:rFonts w:hint="eastAsia" w:ascii="Times New Roman" w:hAnsi="Times New Roman" w:eastAsia="仿宋_GB2312" w:cs="仿宋_GB2312"/>
          <w:sz w:val="32"/>
          <w:szCs w:val="32"/>
          <w:lang w:val="en-US" w:eastAsia="zh-CN"/>
        </w:rPr>
        <w:t>办理兵团内异地长期居住备案手续的参保人，可向居住地兵团医保经办机构申请异地失能等级评估，符合待遇享受条件的，可依申请在居住地享受长期护理保险待遇，长期护理保险费用异地结算参照基本医疗保险异地就医结算模式执行。参保人员跨省异地待遇享受按照国家统一部署执行。领取工伤保险生活护理费的参保人员，不重复享受长期护理保险相关服务待遇。配合兵团做好长期护理保险与经济困难的高龄、失能老年人补贴以及重度残疾人护理补贴等政策的衔接。</w:t>
      </w:r>
    </w:p>
    <w:p w14:paraId="337E4D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六、管理服务</w:t>
      </w:r>
    </w:p>
    <w:p w14:paraId="1054E8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（一）统一评估标准。</w:t>
      </w:r>
      <w:r>
        <w:rPr>
          <w:rFonts w:hint="eastAsia" w:ascii="Times New Roman" w:hAnsi="Times New Roman" w:eastAsia="仿宋_GB2312" w:cs="仿宋_GB2312"/>
          <w:sz w:val="32"/>
          <w:szCs w:val="32"/>
          <w:lang w:val="en-US" w:eastAsia="zh-CN"/>
        </w:rPr>
        <w:t>执行全国统一的长期护理失能等级评估标准和操作指南，长期护理评估结论实行兵团内医保部门互认。利用定点医疗机构、劳动能力鉴定机构、商业保险机构等现有评估认定力量实施评估，鼓励支持发展专业独立的社会化评估机构，实行定点管理。同一机构不得同时承担长期护理保险的经办工作、失能等级评估工作和依据评估结论而开展的长期护理服务工作。探索发挥家庭签约医生、养老服务师在失能等级评估和服务计划制定中的作用。参保人评估服务费由基金和个人合理分担，避免随意过度使用评估申请权，原则上首次评估通过的评估服务费以及按制度要求参加定期复评的评估服务费由医保基金支付。建立健全评估人员规范化培训机制，民政、卫健、残联与医保部门共同探索失能等级评估结果跨部门互认机制。做好定点评估机构的日常检查、评估结论抽查审核、考核评价等工作。</w:t>
      </w:r>
    </w:p>
    <w:p w14:paraId="5CB890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（二）建立支付管理机制。</w:t>
      </w:r>
      <w:r>
        <w:rPr>
          <w:rFonts w:hint="eastAsia" w:ascii="Times New Roman" w:hAnsi="Times New Roman" w:eastAsia="仿宋_GB2312" w:cs="仿宋_GB2312"/>
          <w:sz w:val="32"/>
          <w:szCs w:val="32"/>
          <w:lang w:val="en-US" w:eastAsia="zh-CN"/>
        </w:rPr>
        <w:t>长期护理服务机构实行定点管理。鼓励基层医疗卫生机构、养老服务机构或其他服务机构提供长期护理服务，医保经办机构根据资源合理配置情况审核确定定点护理服务机构，对符合条件的机构按规定纳入定点机构范围，提升团（镇）、街道、连队（社区）长期护理服务可及性。建立健全长期护理保险服务质量评价和费用控制激励约束机制，加强定点服务机构内部运行、服务提供、基金使用、信息化支撑等方面的规范化管理。强化上门护理服务机构与集中护理服务机构的统筹管理，做好居家上门护理服务机构区域规划布局，鼓励符合条件的定点护理服务机构在团（镇）、街道、连队（社区）提供上门护理服务，鼓励基层医疗卫生机构转型提供护理服务，增加长期护理服务供给。建立符合长期护理保险服务特点的支付机制和协商谈判机制，针对不同服务模式完善支付方式，提高基金支付效能。</w:t>
      </w:r>
    </w:p>
    <w:p w14:paraId="60A9EC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（三）加强基金运行管理。</w:t>
      </w:r>
      <w:r>
        <w:rPr>
          <w:rFonts w:hint="eastAsia" w:ascii="Times New Roman" w:hAnsi="Times New Roman" w:eastAsia="仿宋_GB2312" w:cs="仿宋_GB2312"/>
          <w:sz w:val="32"/>
          <w:szCs w:val="32"/>
          <w:lang w:val="en-US" w:eastAsia="zh-CN"/>
        </w:rPr>
        <w:t>长期护理保险实行兵团统一政策，基金纳入社会保障基金财政专户，单独建账、单独管理、专款专用。严格执行基金财务制度，加强基金财务管理，规范基金收支。建立基金运行监控和风险防范机制，扎实开展基金中长期精算分析，提高基金使用效率，确保基金可持续运行。在基金出现支付困难时，按规定及时调整筹资或待遇政策，不得将基金交由经办长期护理保险的第三方机构代管代拨。</w:t>
      </w:r>
    </w:p>
    <w:p w14:paraId="179509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（四）强化基金监督管理。</w:t>
      </w:r>
      <w:r>
        <w:rPr>
          <w:rFonts w:hint="eastAsia" w:ascii="Times New Roman" w:hAnsi="Times New Roman" w:eastAsia="仿宋_GB2312" w:cs="仿宋_GB2312"/>
          <w:sz w:val="32"/>
          <w:szCs w:val="32"/>
          <w:lang w:val="en-US" w:eastAsia="zh-CN"/>
        </w:rPr>
        <w:t>建立健全基金监管体系，完善长期护理保险监管长效机制。逐步将基金使用纳入日常监管、智能监控、社会监督等常态化监管范围。加大基金监管执法力度，建立健全重要线索、重大案件联查联办和追责问责机制，完善对欺诈骗保人员、机构惩戒机制。医保行政部门负责对经办机构受理定点申请、综合审核、协议签订及履行等进行监督。医保经办机构要加强对定点评估机构、定点护理服务机构、参保人员的管理，对定点评估机构、定点护理服务机构等协议履约情况开展日常巡查、随机抽查、智能审核、绩效考核等，对参保人员享受长期护理待遇情况等实施检查，持续提升智能化核查水平。</w:t>
      </w:r>
    </w:p>
    <w:p w14:paraId="5E8E27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（五）优化经办管理服务。</w:t>
      </w:r>
      <w:r>
        <w:rPr>
          <w:rFonts w:hint="eastAsia" w:ascii="Times New Roman" w:hAnsi="Times New Roman" w:eastAsia="仿宋_GB2312" w:cs="仿宋_GB2312"/>
          <w:sz w:val="32"/>
          <w:szCs w:val="32"/>
          <w:lang w:val="en-US" w:eastAsia="zh-CN"/>
        </w:rPr>
        <w:t>加强经办能力建设，建立健全经办服务体系。在确保基金安全运行和有效监管的前提下，由兵团医保部门按规定引入社会力量参与经办管理服务，强化激励约束机制，相关费用依协议约定从基金中列支。加强定点评估机构和服务机构协议管理，医保经办机构对第三方机构合同履行、服务质量等情形开展考核评价，强化考核结果运用，提高管理服务质效。加快推进长期护理服务人员队伍建设，强化长期照护师培训培养和评估人员规范化培训，规范职业技能等级认定工作。全面推进兵团范围内异地长期护理服务费用直接结算，落实国家、兵团关于跨统筹区长期护理保险关系转移接续政策，做好异地参保和异地享受待遇等工作。</w:t>
      </w:r>
    </w:p>
    <w:p w14:paraId="7DDB99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（六）加强信息化建设。</w:t>
      </w:r>
      <w:r>
        <w:rPr>
          <w:rFonts w:hint="eastAsia" w:ascii="Times New Roman" w:hAnsi="Times New Roman" w:eastAsia="仿宋_GB2312" w:cs="仿宋_GB2312"/>
          <w:sz w:val="32"/>
          <w:szCs w:val="32"/>
          <w:lang w:val="en-US" w:eastAsia="zh-CN"/>
        </w:rPr>
        <w:t>做好全国统一的长期护理保险子系统的落地应用，实现待遇申请、失能评估、经办服务、日常监管等全流程业务标准化、规范化、智能化。推进长期护理保险待遇享受人“一人一档”建设。</w:t>
      </w:r>
    </w:p>
    <w:p w14:paraId="300991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七、组织保障</w:t>
      </w:r>
    </w:p>
    <w:p w14:paraId="44BFE2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Times New Roman" w:hAnsi="Times New Roman" w:eastAsia="仿宋_GB2312" w:cs="仿宋_GB2312"/>
          <w:sz w:val="32"/>
          <w:szCs w:val="32"/>
          <w:lang w:val="en-US" w:eastAsia="zh-CN"/>
        </w:rPr>
        <w:t>各级各部门要提高政治站位，将建立完善长期护理保险制度作为重要民生工程，各相关部门要按照《兵团办公厅关于印发〈兵团建立长期护理保险制度实施方案〉的通知》（新兵办发</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2026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14号）规定，明确责任分工，形成工作合力，共同推进长期护理保险工作。民政、卫生健康、残联与医保部门共同负责加强保险体系和服务体系协同联动、探索失能等级评估结果跨部门互认机制等。医保部门负责师市长期护理保险的组织实施、政策制定、经办管理、基金运行监测监管等工作。网信部门负责配合做好长期护理保险舆情监测。财政部门负责及时足额安排相关财政补助资金、配合医保部门做好基金测算等。民政部门负责统筹配置养老服务资源，加强养老类定点护理机构的规范管理，做好失能老年人补贴等政策与长期护理保险衔接。人力资源社会保障部门负责做好工伤保险与长期护理保险衔接，配合做好养老金数据共享工作，协同做好长期照护师培训、认定等工作。农业农村部门负责做好防止返贫致贫对象认定和帮扶工作。卫生健康部门负责医疗类定点服务机构的规范管理，确保医疗护理服务质量，支持引导基层医疗机构提供长期护理服务，探索签约家庭医生开展失能等级评估、护理服务计划制定等。残联配合推动残疾人康复托养服务、残疾人相关补贴制度与长期护理保险的衔接。税务部门负责长期护理保险费征收等工作，实现长期护理保险与基本医疗保险共同缴费。</w:t>
      </w:r>
    </w:p>
    <w:p w14:paraId="7367AB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（二）加强宣传引导。</w:t>
      </w:r>
      <w:r>
        <w:rPr>
          <w:rFonts w:hint="eastAsia" w:ascii="Times New Roman" w:hAnsi="Times New Roman" w:eastAsia="仿宋_GB2312" w:cs="仿宋_GB2312"/>
          <w:sz w:val="32"/>
          <w:szCs w:val="32"/>
          <w:lang w:val="en-US" w:eastAsia="zh-CN"/>
        </w:rPr>
        <w:t>各级各部门要积极宣传长期护理保险政策，准确解读制度内涵和保障功能，增强个人参保缴费责任意识，强化互助共济理念，形成合理社会预期。</w:t>
      </w:r>
    </w:p>
    <w:p w14:paraId="188258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（三）做好总结评估。</w:t>
      </w:r>
      <w:r>
        <w:rPr>
          <w:rFonts w:hint="eastAsia" w:ascii="Times New Roman" w:hAnsi="Times New Roman" w:eastAsia="仿宋_GB2312" w:cs="仿宋_GB2312"/>
          <w:sz w:val="32"/>
          <w:szCs w:val="32"/>
          <w:lang w:val="en-US" w:eastAsia="zh-CN"/>
        </w:rPr>
        <w:t>医保部门要及时开展阶段性总结，深入分析并组织研究解决长期护理保险运行过程中的难点和问题，根据制度实施推进情况，开展改革绩效评估，全面总结成效和经验，确保信息上下贯通，工作上下联动，改革目标如期实现。</w:t>
      </w:r>
    </w:p>
    <w:p w14:paraId="2D20F3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本方案自2026年9月1日起施行，</w:t>
      </w:r>
      <w:r>
        <w:rPr>
          <w:rFonts w:hint="default" w:ascii="Times New Roman" w:hAnsi="Times New Roman" w:eastAsia="仿宋_GB2312" w:cs="仿宋_GB2312"/>
          <w:b w:val="0"/>
          <w:bCs w:val="0"/>
          <w:color w:val="auto"/>
          <w:sz w:val="32"/>
          <w:szCs w:val="32"/>
          <w:highlight w:val="none"/>
          <w:lang w:val="en-US" w:eastAsia="zh-CN"/>
        </w:rPr>
        <w:t>由师市医疗保障局</w:t>
      </w:r>
      <w:r>
        <w:rPr>
          <w:rFonts w:hint="eastAsia" w:ascii="Times New Roman" w:hAnsi="Times New Roman" w:eastAsia="仿宋_GB2312" w:cs="仿宋_GB2312"/>
          <w:b w:val="0"/>
          <w:bCs w:val="0"/>
          <w:color w:val="auto"/>
          <w:sz w:val="32"/>
          <w:szCs w:val="32"/>
          <w:highlight w:val="none"/>
          <w:lang w:val="en-US" w:eastAsia="zh-CN"/>
        </w:rPr>
        <w:t>承担具体解释工作</w:t>
      </w:r>
      <w:r>
        <w:rPr>
          <w:rFonts w:hint="default"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sz w:val="32"/>
          <w:szCs w:val="32"/>
          <w:lang w:val="en-US" w:eastAsia="zh-CN"/>
        </w:rPr>
        <w:t>实施过程中，国家和兵团有新规定的，按新规定执行。重大事项和重要情况及时按程序向师市报告。</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566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5FF17">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F5FF17">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F2ABF"/>
    <w:rsid w:val="03FF60FE"/>
    <w:rsid w:val="0E460DCC"/>
    <w:rsid w:val="12F6691D"/>
    <w:rsid w:val="1658169C"/>
    <w:rsid w:val="17BF44E6"/>
    <w:rsid w:val="1E522E75"/>
    <w:rsid w:val="21A46F2E"/>
    <w:rsid w:val="2398757C"/>
    <w:rsid w:val="23A93537"/>
    <w:rsid w:val="244B2840"/>
    <w:rsid w:val="24743B45"/>
    <w:rsid w:val="27B70F64"/>
    <w:rsid w:val="2B886128"/>
    <w:rsid w:val="2BF67536"/>
    <w:rsid w:val="2BFA7026"/>
    <w:rsid w:val="31E96989"/>
    <w:rsid w:val="34767465"/>
    <w:rsid w:val="37060F75"/>
    <w:rsid w:val="427C5961"/>
    <w:rsid w:val="43FB34E3"/>
    <w:rsid w:val="46544BD7"/>
    <w:rsid w:val="4D317F76"/>
    <w:rsid w:val="4DD03C33"/>
    <w:rsid w:val="4FBA24A4"/>
    <w:rsid w:val="5233653E"/>
    <w:rsid w:val="57EB4824"/>
    <w:rsid w:val="588E64AB"/>
    <w:rsid w:val="58AE691E"/>
    <w:rsid w:val="5A971D60"/>
    <w:rsid w:val="5BBB1A7E"/>
    <w:rsid w:val="5D1D4073"/>
    <w:rsid w:val="614C0283"/>
    <w:rsid w:val="618B1EF3"/>
    <w:rsid w:val="623C31ED"/>
    <w:rsid w:val="62E21FE6"/>
    <w:rsid w:val="66C50975"/>
    <w:rsid w:val="6A45379E"/>
    <w:rsid w:val="6B674B05"/>
    <w:rsid w:val="6CAF118B"/>
    <w:rsid w:val="716D33C3"/>
    <w:rsid w:val="72D74F98"/>
    <w:rsid w:val="753A7A60"/>
    <w:rsid w:val="756A22DC"/>
    <w:rsid w:val="76820C3B"/>
    <w:rsid w:val="76C17757"/>
    <w:rsid w:val="796C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b1c5773b-3ead-43c1-8de3-bd35a02f955b</errorID>
      <errorWord>&lt;</errorWord>
      <group>L1_Format</group>
      <groupName>格式问题</groupName>
      <ability>L2_HalfPunc_CN</ability>
      <abilityName>全半角问题</abilityName>
      <candidateList>
        <item>〈</item>
      </candidateList>
      <explain>文本全半角错误。</explain>
      <paraID>44BFE22D</paraID>
      <start>63</start>
      <end>64</end>
      <status>modified</status>
      <modifiedWord>〈</modifiedWord>
      <trackRevisions>false</trackRevisions>
    </reviewItem>
    <reviewItem>
      <errorID>96725e6d-3298-4cd7-8f08-e28f9457730f</errorID>
      <errorWord>&gt;的通知》</errorWord>
      <group>L1_Punc</group>
      <groupName>标点问题</groupName>
      <ability>L2_Punc_CN</ability>
      <abilityName>标点符号问题</abilityName>
      <candidateList>
        <item>〉的通知》</item>
      </candidateList>
      <explain/>
      <paraID>44BFE22D</paraID>
      <start>80</start>
      <end>85</end>
      <status>modified</status>
      <modifiedWord>〉的通知》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73238-f9f5-4de8-862b-f3a5d7d6955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5437</Words>
  <Characters>5528</Characters>
  <Lines>0</Lines>
  <Paragraphs>0</Paragraphs>
  <TotalTime>3</TotalTime>
  <ScaleCrop>false</ScaleCrop>
  <LinksUpToDate>false</LinksUpToDate>
  <CharactersWithSpaces>5528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2023-12-13T08:45:00Z</dcterms:created>
  <dc:creator>Lenovo</dc:creator>
  <cp:lastModifiedBy>郁先生</cp:lastModifiedBy>
  <dcterms:modified xsi:type="dcterms:W3CDTF">2026-07-08T03:04:25Z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C4BF7679283941B0916F609B69040874_12</vt:lpwstr>
  </property>
  <property fmtid="{D5CDD505-2E9C-101B-9397-08002B2CF9AE}" pid="4" name="KSOTemplateDocerSaveRecord">
    <vt:lpwstr>eyJoZGlkIjoiY2I2M2E0YmVlMDQyMGNkYjMwNzY3YWQ2OGY3N2MyZTEiLCJ1c2VySWQiOiIyNTIyMzM4OTkifQ==</vt:lpwstr>
  </property>
</Properties>
</file>