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A8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第三师图木舒克市住建领域建筑劳务企业规范管理工作方案（征求意见稿）</w:t>
      </w:r>
    </w:p>
    <w:p w14:paraId="7FF10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</w:p>
    <w:p w14:paraId="38082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为规范第三师图木舒克市房屋市政工程建筑市场秩序，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压实建设单位、总承包单位、监理单位、劳务分包单位四方主体责任，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防范质量安全风险，整治劳务分包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领域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乱象，保障农民工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合法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工资权益，依据相关法律法规规</w:t>
      </w:r>
      <w:bookmarkStart w:id="15" w:name="_GoBack"/>
      <w:bookmarkEnd w:id="15"/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章，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结合师市建设领域实际，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制定本方案。</w:t>
      </w:r>
    </w:p>
    <w:p w14:paraId="2B36B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heading_0"/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一、总体目标</w:t>
      </w:r>
      <w:bookmarkEnd w:id="0"/>
    </w:p>
    <w:p w14:paraId="6C5F1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坚持法治化、规范化、常态化行业监管，聚焦劳务资质管控、发承包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行为规范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、建筑工人实名制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落地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、质量安全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责任落实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、工资支付保障五大关键环节，通过动态核查、全流程监管、闭环整改、依法惩戒，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集中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整治资质挂靠、违法分包、转包、管理人员脱岗空岗、拖欠农民工工资等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突出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问题，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加快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构建资质合规、发包规范、人员可控、安全可靠、权益保障到位的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良性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建筑劳务市场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秩序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，推动师市建筑业高质量发展。</w:t>
      </w:r>
    </w:p>
    <w:p w14:paraId="165AD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1" w:name="heading_1"/>
      <w:r>
        <w:rPr>
          <w:rFonts w:hint="default" w:ascii="黑体" w:hAnsi="黑体" w:eastAsia="黑体" w:cs="黑体"/>
          <w:b w:val="0"/>
          <w:bCs/>
          <w:sz w:val="32"/>
          <w:szCs w:val="32"/>
        </w:rPr>
        <w:t>二、工作举措</w:t>
      </w:r>
      <w:bookmarkEnd w:id="1"/>
    </w:p>
    <w:p w14:paraId="35B6B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bookmarkStart w:id="2" w:name="heading_2"/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（一）抓实项目闭环监管，规范劳务信息报送</w:t>
      </w:r>
      <w:bookmarkEnd w:id="2"/>
    </w:p>
    <w:p w14:paraId="3C999A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严抓资质动态核查。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师市住建局按季度核查劳务企业净资产、技术负责人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配备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、持证技术工人等核心资质指标。对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资质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指标不达标的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下达整改通知，整改期限最长不超过3个月；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对存在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现场管理机构缺失、管理人员无真实劳动关系、技术工人配置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无法满足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项目需求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情形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的，责令限期整改、予以行业通报，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并上报上级行业主管部门。</w:t>
      </w:r>
    </w:p>
    <w:p w14:paraId="6BCE1C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严抓签约风险审查。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总承包单位签订劳务分包合同前，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需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核验劳务企业无欠薪相关证明，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将其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作为签约风险研判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的重要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参考。建设单位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该项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审查要求纳入招标文件及施工合同，督促总承包、监理单位履职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到位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，严禁对外地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合规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劳务企业设置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不合理的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业务承揽壁垒。</w:t>
      </w:r>
    </w:p>
    <w:p w14:paraId="5D2591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严抓项目资料报备。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劳务作业开工前，总承包单位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需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向工程质量监督机构报送劳务分包合同、工资保证金凭证、管理人员及作业人员台账、安全教育记录。对未按要求报送资料的项目，加大现场核查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频次和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力度。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劳务分包合同发生重大调整、劳务承包人变更，总承包单位须于5个工作日内完成信息更新报备。</w:t>
      </w:r>
    </w:p>
    <w:p w14:paraId="053EAC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严抓违规线索处置。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针对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施工现场无在岗管理人员、管理人员脱岗缺位、出借转让资质、挂靠承揽劳务等问题，责令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责任主体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限期整改、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予以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行业通报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，并将相关行为记入不良信用档案。</w:t>
      </w:r>
    </w:p>
    <w:p w14:paraId="50719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3" w:name="heading_3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（二）抓实分包流程管控，严格三级审查机制</w:t>
      </w:r>
      <w:bookmarkEnd w:id="3"/>
    </w:p>
    <w:p w14:paraId="316426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严把总包前置审查。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签约前核验劳务企业资质、安全生产条件、人员持证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情况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、信用状况，分包方案经监理、建设单位书面同意后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方可签订劳务分包合同。</w:t>
      </w:r>
    </w:p>
    <w:p w14:paraId="209DA1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2.严把监理实质审核。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监理单位核查分包单位主体资质、人员配置及实际履约能力，出具签章版正式审查意见；对审查不合格的分包单位不予报审，所有核查内容需完整留存至监理工作台账。</w:t>
      </w:r>
    </w:p>
    <w:p w14:paraId="6F7126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3.严把建设单位终审。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对提交的《分包单位资格报审表》开展最终审核，对不符合条件的分包单位书面告知总承包单位，严禁相关劳务队伍进场，整改成效由监理单位全程跟踪复核。</w:t>
      </w:r>
    </w:p>
    <w:p w14:paraId="191224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严把违法行为查处。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严禁劳务企业将承接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劳务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作业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转包、拆分分包给无资质单位或个人，一经查实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立即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责令停工整改，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违规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线索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同步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移送执法机构处置，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相关行为记入不良信用档案。</w:t>
      </w:r>
    </w:p>
    <w:p w14:paraId="681F8F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严把合同资金监管。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优先采用国家劳务分包示范文本，明确承包范围、计价规则、工资支付路径、违约责任等核心条款。建设单位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将人工费足额拨付至总承包单位农民工工资专用账户，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不得将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人工费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拨付至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农民工工资专用账户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以外的其他账户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；总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承包单位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按月归集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整理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工资台账，劳务分包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按月向劳动监察部门报送工资支付记录备案。</w:t>
      </w:r>
    </w:p>
    <w:p w14:paraId="1DCF6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4" w:name="heading_4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（三）抓实人员实名管理，强化现场在岗管控</w:t>
      </w:r>
      <w:bookmarkEnd w:id="4"/>
    </w:p>
    <w:p w14:paraId="38122B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严管在岗履职考勤。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总承包单位对劳务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派驻的项目经理、安全员、劳资员落实常态化考勤，发现脱岗、空岗现象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第一时间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督促整改，必要时暂停对应班组施工作业。</w:t>
      </w:r>
    </w:p>
    <w:p w14:paraId="2C1165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严管人员实名登记。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劳务分包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企业要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建立完整用工花名册，临时用工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人员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做到进场即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完成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登记。总承包单位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需将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全部作业人员录入实名制监管平台，未完成实名登记人员严禁进场施工；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各类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用工台账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保存期限须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工程完工、工资全部结清后不少于3年。</w:t>
      </w:r>
    </w:p>
    <w:p w14:paraId="32635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5" w:name="heading_5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（四）抓实质量安全管控，健全闭环治理机制</w:t>
      </w:r>
      <w:bookmarkEnd w:id="5"/>
    </w:p>
    <w:p w14:paraId="28A7A9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严筑安全责任体系。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劳务分包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领域严格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落实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企业统筹、项目部直管、班组落实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”的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安全生产责任制，逐级签订安全生产责任书，把安全责任压实到各岗位具体人员。</w:t>
      </w:r>
    </w:p>
    <w:p w14:paraId="4317E5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严筑质量安全闭环。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施工现场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需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规范布设安全警示标识、配齐合格防护用品；严格执行施工规范及工序交接检查与验收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制度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，不合格工序限期完成整改。专职安全员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常态化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开展日常巡检，建立隐患整改台账；排查发现重大安全隐患立即停工，整改验收合格后方可复工，实现隐患排查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整改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销号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的全流程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闭环管理。</w:t>
      </w:r>
    </w:p>
    <w:p w14:paraId="06CDB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6" w:name="heading_6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（五）抓实政策正向引导，优选合规劳务力量</w:t>
      </w:r>
      <w:bookmarkEnd w:id="6"/>
    </w:p>
    <w:p w14:paraId="42028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师市政府投资、国有企业投资项目，在招投标法律法规框架下，同等条件下鼓励优先选用合规劳务队伍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，优先范围包括：</w:t>
      </w:r>
    </w:p>
    <w:p w14:paraId="2AB82A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总承包、专业承包企业依法签订劳动合同、足额缴纳社保的自有工人；</w:t>
      </w:r>
    </w:p>
    <w:p w14:paraId="7636D2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总承包、专业承包全资、控股劳务（专业作业）子企业从业人员；</w:t>
      </w:r>
    </w:p>
    <w:p w14:paraId="303DC2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总承包、专业承包控股构件工厂产业工人；</w:t>
      </w:r>
    </w:p>
    <w:p w14:paraId="4C49EF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师市辖区注册设立、资质齐全、经营规范的劳务及专业作业企业从业人员。</w:t>
      </w:r>
    </w:p>
    <w:p w14:paraId="4B7B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7" w:name="heading_7"/>
      <w:r>
        <w:rPr>
          <w:rFonts w:hint="default" w:ascii="黑体" w:hAnsi="黑体" w:eastAsia="黑体" w:cs="黑体"/>
          <w:b w:val="0"/>
          <w:bCs/>
          <w:sz w:val="32"/>
          <w:szCs w:val="32"/>
        </w:rPr>
        <w:t>三、实施步骤</w:t>
      </w:r>
      <w:bookmarkEnd w:id="7"/>
    </w:p>
    <w:p w14:paraId="589E7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8" w:name="heading_8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（一）自查自纠阶段（2026年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12</w:t>
      </w: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月—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2027年2</w:t>
      </w: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月）</w:t>
      </w:r>
      <w:bookmarkEnd w:id="8"/>
    </w:p>
    <w:p w14:paraId="51A5B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各参建单位开展全覆盖自查。劳务企业重点核查资质条件、项目资料报送、人员台账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建立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、合同履约情况；建设、监理、总承包单位重点核查分包三级审查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落实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、人员履职、实名制管理、工资支付制度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执行情况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。全面梳理转包、挂靠、违法分包问题线索，建立问题台账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做到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立行立改，完善内部管理制度，各项目形成自查整改报告报送师市住建局。</w:t>
      </w:r>
    </w:p>
    <w:p w14:paraId="5C8BF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9" w:name="heading_9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（二）专项排查阶段（202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7</w:t>
      </w: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3</w:t>
      </w: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月—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  <w:t>5</w:t>
      </w: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月）</w:t>
      </w:r>
      <w:bookmarkEnd w:id="9"/>
    </w:p>
    <w:p w14:paraId="0071D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师市住建局组织开展全覆盖行业核查，重点核查劳务资质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合规性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及资料报送、分包三级审查落实、实名制管理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运行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、发承包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行为规范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、工资支付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制度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执行情况。综合采取督促整改、行业通报、线索移送执法等处置措施，建立整改台账跟踪督办，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推动所有问题闭环清零。</w:t>
      </w:r>
    </w:p>
    <w:p w14:paraId="2B323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10" w:name="heading_10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（三）常态化治理阶段（长期坚持）</w:t>
      </w:r>
      <w:bookmarkEnd w:id="10"/>
    </w:p>
    <w:p w14:paraId="40C6D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将劳务分包管控、资质动态核查、实名制管理、工资支付监管、质量安全督查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全面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纳入日常行业监管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范畴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，常态化开展抽查检查。健全建筑市场信用评价机制，失信惩戒严格遵照国家、兵团失信联合惩戒清单执行，推动劳务管理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向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规范化、长效化运行。</w:t>
      </w:r>
    </w:p>
    <w:p w14:paraId="27696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b w:val="0"/>
          <w:bCs/>
          <w:sz w:val="32"/>
          <w:szCs w:val="32"/>
        </w:rPr>
      </w:pPr>
      <w:bookmarkStart w:id="11" w:name="heading_11"/>
      <w:r>
        <w:rPr>
          <w:rFonts w:hint="default" w:ascii="黑体" w:hAnsi="黑体" w:eastAsia="黑体" w:cs="黑体"/>
          <w:b w:val="0"/>
          <w:bCs/>
          <w:sz w:val="32"/>
          <w:szCs w:val="32"/>
        </w:rPr>
        <w:t>四、工作要求与责任追究</w:t>
      </w:r>
      <w:bookmarkEnd w:id="11"/>
    </w:p>
    <w:p w14:paraId="123AF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</w:pPr>
      <w:bookmarkStart w:id="12" w:name="heading_12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（一）压实四方主体</w:t>
      </w: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责任</w:t>
      </w:r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，明晰履职</w:t>
      </w:r>
      <w:bookmarkEnd w:id="12"/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eastAsia="zh-CN"/>
        </w:rPr>
        <w:t>边界</w:t>
      </w:r>
    </w:p>
    <w:p w14:paraId="7C238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建设单位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承担项目首要管理责任，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牵头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排查违法发包、转包、挂靠问题线索，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按约定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足额拨付工程款及人工费用；实行代建的项目，由代建机构履行对应建设管理职责。总承包单位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落实现场管理总责，严格分包准入审查，及时上报各类违规线索。监理单位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履行全过程监督职责，发现违规行为及时制止、上报，完整留存监理档案资料。劳务分包企业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落实劳务作业直接管理责任，规范内部用工及现场施工作业行为。</w:t>
      </w:r>
    </w:p>
    <w:p w14:paraId="7A958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13" w:name="heading_13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（二）聚焦民工权益，抓实工资管控</w:t>
      </w:r>
      <w:bookmarkEnd w:id="13"/>
    </w:p>
    <w:p w14:paraId="55E3B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严格落实农民工工资专用账户、工资保证金、总承包代发工资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法定制度。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总承包单位要规范工资专户运行，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完整留存工资发放凭证；建设单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位要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按期足额拨付人工费用。对欠薪、人工费拨付违约的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责任主体，将相关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线索移送人社、住建执法机构依法处置；符合失信情形的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按规定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实施联合惩戒；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涉及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吊销资质等行政处罚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的，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由法定资质许可机关依法实施。各项目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建立劳资纠纷就地调解机制，公开维权渠道，快速受理处置劳资诉求，引导从业人员依法理性维权。</w:t>
      </w:r>
    </w:p>
    <w:p w14:paraId="1C68D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</w:pPr>
      <w:bookmarkStart w:id="14" w:name="heading_14"/>
      <w:r>
        <w:rPr>
          <w:rFonts w:hint="default" w:ascii="楷体_GB2312" w:hAnsi="楷体_GB2312" w:eastAsia="楷体_GB2312" w:cs="楷体_GB2312"/>
          <w:b w:val="0"/>
          <w:bCs/>
          <w:sz w:val="32"/>
          <w:szCs w:val="32"/>
        </w:rPr>
        <w:t>（三）严肃执纪问责，筑牢监管底线</w:t>
      </w:r>
      <w:bookmarkEnd w:id="14"/>
    </w:p>
    <w:p w14:paraId="4B34F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坚持失责必问、问责必严。对政府投资项目中涉嫌未落实项目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eastAsia="zh-CN"/>
        </w:rPr>
        <w:t>信息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报送、违法分包、挂靠、超资质承揽劳务等行为，移送执法机构追究相关单位及人员责任。总承包项目负责人、总监理工程师履职失范的，移送执法机构追究相应执业责任。建设单位履职缺位、整改落实不到位的，依规开展行业处置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涉嫌违法乱纪行为的将及时通报至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上级主管部门及纪检监察机关。</w:t>
      </w:r>
    </w:p>
    <w:sectPr>
      <w:footerReference r:id="rId5" w:type="default"/>
      <w:pgSz w:w="11905" w:h="16840"/>
      <w:pgMar w:top="2098" w:right="1474" w:bottom="1984" w:left="1587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9CA05">
    <w:pPr>
      <w:rPr>
        <w:rFonts w:hint="eastAsia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A569CB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A569CB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89"/>
    <w:rsid w:val="001F42BF"/>
    <w:rsid w:val="001F6089"/>
    <w:rsid w:val="005B6A89"/>
    <w:rsid w:val="008A78D0"/>
    <w:rsid w:val="01D17D63"/>
    <w:rsid w:val="030F3671"/>
    <w:rsid w:val="103B6477"/>
    <w:rsid w:val="1C3E1334"/>
    <w:rsid w:val="24AA69F6"/>
    <w:rsid w:val="327D59FB"/>
    <w:rsid w:val="40626D67"/>
    <w:rsid w:val="45270EA3"/>
    <w:rsid w:val="57A32553"/>
    <w:rsid w:val="6EB613E7"/>
    <w:rsid w:val="6FA757F4"/>
    <w:rsid w:val="7DB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770d86-7fc7-4254-844f-0e279774f4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2845</Words>
  <Characters>2868</Characters>
  <Lines>48</Lines>
  <Paragraphs>42</Paragraphs>
  <TotalTime>7</TotalTime>
  <ScaleCrop>false</ScaleCrop>
  <LinksUpToDate>false</LinksUpToDate>
  <CharactersWithSpaces>2868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2026-10-22T05:33:00Z</dcterms:created>
  <dc:creator>Apache POI</dc:creator>
  <cp:lastModifiedBy>qqqmmmjjjkkk</cp:lastModifiedBy>
  <dcterms:modified xsi:type="dcterms:W3CDTF">2026-10-23T11:38:04Z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{"Label":"1","ContentProducer":"001191110102MACQD9K64010000","ProduceID":"7699360793201462523","ReservedCode1":"","ContentPropagator":"","PropagateID":"","ReservedCode2":""}</vt:lpwstr>
  </property>
  <property fmtid="{D5CDD505-2E9C-101B-9397-08002B2CF9AE}" pid="3" name="KSOTemplateDocerSaveRecord">
    <vt:lpwstr>eyJoZGlkIjoiODhmYTY2YTE5ODI2NDdkMjlkNTMwY2VjOTcwMjgzYzciLCJ1c2VySWQiOiI0NTQxNTMyMzQifQ==</vt:lpwstr>
  </property>
  <property fmtid="{D5CDD505-2E9C-101B-9397-08002B2CF9AE}" pid="4" name="KSOProductBuildVer">
    <vt:lpwstr>2052-12.1.0.28505</vt:lpwstr>
  </property>
  <property fmtid="{D5CDD505-2E9C-101B-9397-08002B2CF9AE}" pid="5" name="ICV">
    <vt:lpwstr>3C85D93551F64F9C9BFCFC4F8ED7DB0C_12</vt:lpwstr>
  </property>
</Properties>
</file>