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7D9A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jc w:val="center"/>
        <w:textAlignment w:val="auto"/>
        <w:rPr>
          <w:rFonts w:hint="default" w:eastAsia="方正小标宋简体" w:asciiTheme="minorAscii" w:hAnsiTheme="minorAscii"/>
          <w:color w:val="FF0000"/>
          <w:spacing w:val="-23"/>
          <w:w w:val="82"/>
          <w:sz w:val="72"/>
          <w:szCs w:val="72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FFFFFF" w:themeColor="background1"/>
          <w:w w:val="60"/>
          <w:sz w:val="74"/>
          <w:szCs w:val="74"/>
          <w:shd w:val="clear"/>
          <w14:textFill>
            <w14:solidFill>
              <w14:schemeClr w14:val="bg1"/>
            </w14:solidFill>
          </w14:textFill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45720</wp:posOffset>
                </wp:positionH>
                <wp:positionV relativeFrom="paragraph">
                  <wp:posOffset>685800</wp:posOffset>
                </wp:positionV>
                <wp:extent cx="5509260" cy="635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09260" cy="635"/>
                        </a:xfrm>
                        <a:prstGeom prst="line">
                          <a:avLst/>
                        </a:prstGeom>
                        <a:solidFill>
                          <a:srgbClr val="FF0000"/>
                        </a:solidFill>
                        <a:ln w="57150" cap="flat" cmpd="thickThin">
                          <a:noFill/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.6pt;margin-top:54pt;height:0.05pt;width:433.8pt;z-index:251659264;mso-width-relative:page;mso-height-relative:page;" fillcolor="#FF0000" filled="t" stroked="f" coordsize="21600,21600" o:gfxdata="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GV5G2jWAAAACQEAAA8AAAAAAAAAAQAgAAAAIgAAAGRycy9kb3du&#10;cmV2LnhtbFBLAQIUABQAAAAIAIdO4kArRl4gAQIAAPgDAAAOAAAAAAAAAAEAIAAAACUBAABkcnMv&#10;ZTJvRG9jLnhtbFBLBQYAAAAABgAGAFkBAACYBQAAAAA=&#10;">
                <v:fill on="t" focussize="0,0"/>
                <v:stroke on="f" weight="4.5pt" linestyle="thickThin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eastAsia="方正小标宋简体"/>
          <w:color w:val="FF0000"/>
          <w:spacing w:val="-23"/>
          <w:w w:val="82"/>
          <w:sz w:val="72"/>
          <w:szCs w:val="72"/>
          <w:lang w:eastAsia="zh-CN"/>
        </w:rPr>
        <w:t>第三师图木舒克市发展和改革委员会</w:t>
      </w:r>
    </w:p>
    <w:p w14:paraId="6E8AD16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w w:val="95"/>
          <w:kern w:val="0"/>
          <w:sz w:val="44"/>
          <w:szCs w:val="44"/>
          <w:lang w:eastAsia="zh-CN"/>
        </w:rPr>
      </w:pPr>
      <w:r>
        <w:rPr>
          <w:sz w:val="32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59055</wp:posOffset>
                </wp:positionH>
                <wp:positionV relativeFrom="paragraph">
                  <wp:posOffset>9525</wp:posOffset>
                </wp:positionV>
                <wp:extent cx="5467350" cy="57150"/>
                <wp:effectExtent l="0" t="13970" r="6350" b="5080"/>
                <wp:wrapNone/>
                <wp:docPr id="6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67350" cy="57150"/>
                          <a:chOff x="9579" y="2986"/>
                          <a:chExt cx="8610" cy="90"/>
                        </a:xfrm>
                      </wpg:grpSpPr>
                      <wps:wsp>
                        <wps:cNvPr id="5" name="直接连接符 2"/>
                        <wps:cNvCnPr/>
                        <wps:spPr>
                          <a:xfrm>
                            <a:off x="9579" y="2986"/>
                            <a:ext cx="8610" cy="15"/>
                          </a:xfrm>
                          <a:prstGeom prst="line">
                            <a:avLst/>
                          </a:prstGeom>
                          <a:ln w="28575" cap="flat" cmpd="sng">
                            <a:solidFill>
                              <a:srgbClr val="FF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7" name="直接连接符 1"/>
                        <wps:cNvCnPr/>
                        <wps:spPr>
                          <a:xfrm>
                            <a:off x="9579" y="3046"/>
                            <a:ext cx="8610" cy="3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FF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.65pt;margin-top:0.75pt;height:4.5pt;width:430.5pt;z-index:251663360;mso-width-relative:page;mso-height-relative:page;" coordorigin="9579,2986" coordsize="8610,90" o:gfxdata="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0VJBbNQA&#10;AAAGAQAADwAAAAAAAAABACAAAAAiAAAAZHJzL2Rvd25yZXYueG1sUEsBAhQAFAAAAAgAh07iQA1U&#10;fOGVAgAAIAcAAA4AAAAAAAAAAQAgAAAAIwEAAGRycy9lMm9Eb2MueG1sUEsFBgAAAAAGAAYAWQEA&#10;ACoGAAAAAA==&#10;">
                <o:lock v:ext="edit" aspectratio="f"/>
                <v:line id="直接连接符 2" o:spid="_x0000_s1026" o:spt="20" style="position:absolute;left:9579;top:2986;height:15;width:8610;" filled="f" stroked="t" coordsize="21600,21600" o:gfxdata="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UQzuLsAAADa&#10;AAAADwAAAAAAAAABACAAAAAiAAAAZHJzL2Rvd25yZXYueG1sUEsBAhQAFAAAAAgAh07iQDMvBZ47&#10;AAAAOQAAABAAAAAAAAAAAQAgAAAACgEAAGRycy9zaGFwZXhtbC54bWxQSwUGAAAAAAYABgBbAQAA&#10;tAMAAAAA&#10;">
                  <v:fill on="f" focussize="0,0"/>
                  <v:stroke weight="2.25pt" color="#FF0000" joinstyle="round"/>
                  <v:imagedata o:title=""/>
                  <o:lock v:ext="edit" aspectratio="f"/>
                </v:line>
                <v:line id="直接连接符 1" o:spid="_x0000_s1026" o:spt="20" style="position:absolute;left:9579;top:3046;height:30;width:8610;" filled="f" stroked="t" coordsize="21600,21600" o:gfxdata="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fujdrvQAA&#10;ANoAAAAPAAAAAAAAAAEAIAAAACIAAABkcnMvZG93bnJldi54bWxQSwECFAAUAAAACACHTuJAMy8F&#10;njsAAAA5AAAAEAAAAAAAAAABACAAAAAMAQAAZHJzL3NoYXBleG1sLnhtbFBLBQYAAAAABgAGAFsB&#10;AAC2AwAAAAA=&#10;">
                  <v:fill on="f" focussize="0,0"/>
                  <v:stroke color="#FF0000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hint="default" w:ascii="Times New Roman" w:hAnsi="Times New Roman" w:eastAsia="方正小标宋简体" w:cs="Times New Roman"/>
          <w:color w:val="FFFFFF"/>
          <w:w w:val="60"/>
          <w:sz w:val="74"/>
          <w:szCs w:val="7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8087995</wp:posOffset>
                </wp:positionV>
                <wp:extent cx="5600700" cy="0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57150" cap="flat" cmpd="thinThick">
                          <a:noFill/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636.85pt;height:0pt;width:441pt;z-index:251660288;mso-width-relative:page;mso-height-relative:page;" filled="f" stroked="f" coordsize="21600,21600" o:gfxdata="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IboQ0LVAAAA&#10;CgEAAA8AAAAAAAAAAQAgAAAAIgAAAGRycy9kb3ducmV2LnhtbFBLAQIUABQAAAAIAIdO4kCOpIjA&#10;5wEAAMIDAAAOAAAAAAAAAAEAIAAAACQBAABkcnMvZTJvRG9jLnhtbFBLBQYAAAAABgAGAFkBAAB9&#10;BQAAAAA=&#10;">
                <v:fill on="f" focussize="0,0"/>
                <v:stroke on="f" weight="4.5pt" linestyle="thinThick"/>
                <v:imagedata o:title=""/>
                <o:lock v:ext="edit" aspectratio="f"/>
              </v:line>
            </w:pict>
          </mc:Fallback>
        </mc:AlternateContent>
      </w:r>
    </w:p>
    <w:p w14:paraId="0C3ABE52">
      <w:pPr>
        <w:keepNext w:val="0"/>
        <w:keepLines w:val="0"/>
        <w:pageBreakBefore w:val="0"/>
        <w:widowControl w:val="0"/>
        <w:tabs>
          <w:tab w:val="left" w:pos="44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w w:val="95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w w:val="95"/>
          <w:kern w:val="0"/>
          <w:sz w:val="44"/>
          <w:szCs w:val="44"/>
          <w:lang w:val="en-US" w:eastAsia="zh-CN"/>
        </w:rPr>
        <w:t>师市</w:t>
      </w:r>
      <w:r>
        <w:rPr>
          <w:rFonts w:hint="eastAsia" w:ascii="方正小标宋简体" w:hAnsi="方正小标宋简体" w:eastAsia="方正小标宋简体" w:cs="方正小标宋简体"/>
          <w:w w:val="95"/>
          <w:kern w:val="0"/>
          <w:sz w:val="44"/>
          <w:szCs w:val="44"/>
          <w:lang w:eastAsia="zh-CN"/>
        </w:rPr>
        <w:t>发展改革委202</w:t>
      </w:r>
      <w:r>
        <w:rPr>
          <w:rFonts w:hint="eastAsia" w:ascii="方正小标宋简体" w:hAnsi="方正小标宋简体" w:eastAsia="方正小标宋简体" w:cs="方正小标宋简体"/>
          <w:w w:val="95"/>
          <w:kern w:val="0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w w:val="95"/>
          <w:kern w:val="0"/>
          <w:sz w:val="44"/>
          <w:szCs w:val="44"/>
          <w:lang w:eastAsia="zh-CN"/>
        </w:rPr>
        <w:t>年度法治</w:t>
      </w:r>
      <w:r>
        <w:rPr>
          <w:rFonts w:hint="eastAsia" w:ascii="方正小标宋简体" w:hAnsi="方正小标宋简体" w:eastAsia="方正小标宋简体" w:cs="方正小标宋简体"/>
          <w:w w:val="95"/>
          <w:kern w:val="0"/>
          <w:sz w:val="44"/>
          <w:szCs w:val="44"/>
          <w:lang w:val="en-US" w:eastAsia="zh-CN"/>
        </w:rPr>
        <w:t>政府</w:t>
      </w:r>
      <w:r>
        <w:rPr>
          <w:rFonts w:hint="eastAsia" w:ascii="方正小标宋简体" w:hAnsi="方正小标宋简体" w:eastAsia="方正小标宋简体" w:cs="方正小标宋简体"/>
          <w:w w:val="95"/>
          <w:kern w:val="0"/>
          <w:sz w:val="44"/>
          <w:szCs w:val="44"/>
          <w:lang w:eastAsia="zh-CN"/>
        </w:rPr>
        <w:t>建设工作报告</w:t>
      </w:r>
    </w:p>
    <w:p w14:paraId="61585F1B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0" w:firstLineChars="0"/>
        <w:textAlignment w:val="auto"/>
        <w:rPr>
          <w:rFonts w:hint="eastAsia" w:cs="Times New Roman"/>
          <w:kern w:val="2"/>
          <w:sz w:val="32"/>
          <w:szCs w:val="32"/>
          <w:lang w:val="en-US" w:eastAsia="zh-CN" w:bidi="ar-SA"/>
        </w:rPr>
      </w:pPr>
    </w:p>
    <w:p w14:paraId="5CB0C2BF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cs="Times New Roman"/>
          <w:kern w:val="2"/>
          <w:sz w:val="32"/>
          <w:szCs w:val="32"/>
          <w:lang w:val="en-US" w:eastAsia="zh-CN" w:bidi="ar-SA"/>
        </w:rPr>
        <w:t>2025年，师市发展改革委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坚持以习近平新时代中国特色社会主义思想为指导，全面贯彻落实党的二十大和二十届</w:t>
      </w:r>
      <w:r>
        <w:rPr>
          <w:rFonts w:hint="eastAsia" w:cs="Times New Roman"/>
          <w:kern w:val="2"/>
          <w:sz w:val="32"/>
          <w:szCs w:val="32"/>
          <w:lang w:val="en-US" w:eastAsia="zh-CN" w:bidi="ar-SA"/>
        </w:rPr>
        <w:t>历次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全会精神，</w:t>
      </w:r>
      <w:r>
        <w:rPr>
          <w:rFonts w:hint="eastAsia" w:cs="Times New Roman"/>
          <w:kern w:val="2"/>
          <w:sz w:val="32"/>
          <w:szCs w:val="32"/>
          <w:lang w:val="en-US" w:eastAsia="zh-CN" w:bidi="ar-SA"/>
        </w:rPr>
        <w:t>紧紧围绕师市经济发展大局，扎实推进法治政府建设工作。现将有关工作报告如下。</w:t>
      </w:r>
    </w:p>
    <w:p w14:paraId="1259C818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一、工作开展情况</w:t>
      </w:r>
    </w:p>
    <w:p w14:paraId="0143271A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  <w:t>（一）持续加大法治学习力度，推动法治思想入脑入心。</w:t>
      </w:r>
      <w:r>
        <w:rPr>
          <w:rFonts w:hint="eastAsia" w:cs="Times New Roman"/>
          <w:kern w:val="2"/>
          <w:sz w:val="32"/>
          <w:szCs w:val="32"/>
          <w:lang w:val="en-US" w:eastAsia="zh-CN" w:bidi="ar-SA"/>
        </w:rPr>
        <w:t>师市发展改革委始终深入践行习近平法治思想，主要负责人切实履行推进法治建设第一责任人职责，将法治建设与其他重点工作同部署、同推进、同落实。充分发挥“头雁效应”，带头引领“关键少数”学法普法执法守法，用好“第一议题”制度，通过委党组会、中心组学习、党支部会议等形式，全面系统学习习近平法治思想、《招标投标法》以及发改领域法律法规等10余次，不断提高领导干部运用法治思维和法治方法依法决策、依法管理、依法办事的能力和水平。</w:t>
      </w:r>
    </w:p>
    <w:p w14:paraId="1CC6361E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13335</wp:posOffset>
                </wp:positionH>
                <wp:positionV relativeFrom="paragraph">
                  <wp:posOffset>1633855</wp:posOffset>
                </wp:positionV>
                <wp:extent cx="5594985" cy="30480"/>
                <wp:effectExtent l="0" t="28575" r="5715" b="29845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94985" cy="30480"/>
                        </a:xfrm>
                        <a:prstGeom prst="line">
                          <a:avLst/>
                        </a:prstGeom>
                        <a:ln w="57150" cap="flat" cmpd="thickThin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.05pt;margin-top:128.65pt;height:2.4pt;width:440.55pt;z-index:251662336;mso-width-relative:page;mso-height-relative:page;" filled="f" stroked="t" coordsize="21600,21600" o:gfxdata="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FhU+t/YAAAACQEAAA8AAAAAAAAAAQAg&#10;AAAAIgAAAGRycy9kb3ducmV2LnhtbFBLAQIUABQAAAAIAIdO4kD5FYtdDgIAAAMEAAAOAAAAAAAA&#10;AAEAIAAAACcBAABkcnMvZTJvRG9jLnhtbFBLBQYAAAAABgAGAFkBAACnBQAAAAA=&#10;">
                <v:fill on="f" focussize="0,0"/>
                <v:stroke weight="4.5pt" color="#FF0000" linestyle="thickThin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  <w:t>（二）严格落实权责清单制度，促进动态调整提质增效。</w:t>
      </w:r>
      <w:r>
        <w:rPr>
          <w:rFonts w:hint="eastAsia" w:cs="Times New Roman"/>
          <w:kern w:val="2"/>
          <w:sz w:val="32"/>
          <w:szCs w:val="32"/>
          <w:lang w:val="en-US" w:eastAsia="zh-CN" w:bidi="ar-SA"/>
        </w:rPr>
        <w:t>根据法律法规立改废释、机构和职能调整、部门“三定”规定及简政放权等要求，全面梳理清单事项，明晰行政职权，强化规范用权，为切实做好依法行政、“法无授权不可为”和“法定职责必须为”奠定坚实基础，确保权力事项完整、准确，做到“不漏、不多、不重”。目前，师市发展改革委已承接行使授权36项，包括行政许可8项，行政处罚9项，行政强制1项，行政检查8项，行政奖励1项及其他行政权力9项。</w:t>
      </w:r>
    </w:p>
    <w:p w14:paraId="3B59D076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/>
          <w:sz w:val="32"/>
          <w:lang w:val="en-US" w:eastAsia="zh-CN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  <w:t>（三）深入推进“放管服”改革，优化法治化营商环境。</w:t>
      </w:r>
      <w:r>
        <w:rPr>
          <w:rFonts w:hint="eastAsia" w:cs="Times New Roman"/>
          <w:b/>
          <w:bCs/>
          <w:kern w:val="2"/>
          <w:sz w:val="32"/>
          <w:szCs w:val="32"/>
          <w:lang w:val="en-US" w:eastAsia="zh-CN" w:bidi="ar-SA"/>
        </w:rPr>
        <w:t>一是</w:t>
      </w:r>
      <w:r>
        <w:rPr>
          <w:rFonts w:hint="eastAsia" w:cs="Times New Roman"/>
          <w:kern w:val="2"/>
          <w:sz w:val="32"/>
          <w:szCs w:val="32"/>
          <w:lang w:val="en-US" w:eastAsia="zh-CN" w:bidi="ar-SA"/>
        </w:rPr>
        <w:t>加强部门协同、精简审批环节、优化审批流程，充分发挥兵团投资在线审批平台功能，深化师市投资领域“放管服”改革，不断优化企业投资项目备案办理流程。今年以来通过线上审批平台办结企业备案230余件次。</w:t>
      </w:r>
      <w:r>
        <w:rPr>
          <w:rFonts w:hint="eastAsia" w:ascii="Times New Roman" w:hAnsi="Times New Roman" w:cs="Times New Roman"/>
          <w:b/>
          <w:bCs/>
          <w:kern w:val="2"/>
          <w:sz w:val="32"/>
          <w:szCs w:val="32"/>
          <w:lang w:val="en-US" w:eastAsia="zh-CN" w:bidi="ar-SA"/>
        </w:rPr>
        <w:t>二是</w:t>
      </w:r>
      <w:r>
        <w:rPr>
          <w:rFonts w:hint="eastAsia" w:cs="Times New Roman"/>
          <w:kern w:val="2"/>
          <w:sz w:val="32"/>
          <w:szCs w:val="32"/>
          <w:lang w:val="en-US" w:eastAsia="zh-CN" w:bidi="ar-SA"/>
        </w:rPr>
        <w:t>全面推行以“双随机、一公开”为基本手段、重点监管为补充、信用监管为基础的新型监管机制。创新推动部门联合“双随机”与信用风险分类监管相结合的新型监管模式，牵头建立师市信用体系建设联席会议制度，积极推进“双公示工作”，建立数据更新常态化机制，做到“应公开尽公开”。2025年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累计入库“双公示”、行政五类、水电燃气等各类信用信息共计61</w:t>
      </w:r>
      <w:r>
        <w:rPr>
          <w:rFonts w:hint="eastAsia" w:cs="Times New Roman"/>
          <w:b w:val="0"/>
          <w:bCs w:val="0"/>
          <w:color w:val="auto"/>
          <w:sz w:val="32"/>
          <w:szCs w:val="32"/>
          <w:lang w:val="en-US" w:eastAsia="zh-CN"/>
        </w:rPr>
        <w:t>万余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条</w:t>
      </w:r>
      <w:r>
        <w:rPr>
          <w:rFonts w:hint="eastAsia" w:ascii="Times New Roman" w:hAnsi="Times New Roman"/>
          <w:sz w:val="32"/>
          <w:lang w:val="en-US" w:eastAsia="zh-CN"/>
        </w:rPr>
        <w:t>；畅通企业失信记录修复渠道，共帮助1</w:t>
      </w:r>
      <w:r>
        <w:rPr>
          <w:rFonts w:hint="eastAsia"/>
          <w:sz w:val="32"/>
          <w:lang w:val="en-US" w:eastAsia="zh-CN"/>
        </w:rPr>
        <w:t>4</w:t>
      </w:r>
      <w:r>
        <w:rPr>
          <w:rFonts w:hint="eastAsia" w:ascii="Times New Roman" w:hAnsi="Times New Roman"/>
          <w:sz w:val="32"/>
          <w:lang w:val="en-US" w:eastAsia="zh-CN"/>
        </w:rPr>
        <w:t>家企业进行</w:t>
      </w:r>
      <w:r>
        <w:rPr>
          <w:rFonts w:hint="eastAsia"/>
          <w:sz w:val="32"/>
          <w:lang w:val="en-US" w:eastAsia="zh-CN"/>
        </w:rPr>
        <w:t>29</w:t>
      </w:r>
      <w:r>
        <w:rPr>
          <w:rFonts w:hint="eastAsia" w:ascii="Times New Roman" w:hAnsi="Times New Roman"/>
          <w:sz w:val="32"/>
          <w:lang w:val="en-US" w:eastAsia="zh-CN"/>
        </w:rPr>
        <w:t>次信用修复，为持续优化师市营商环境</w:t>
      </w:r>
      <w:r>
        <w:rPr>
          <w:rFonts w:hint="eastAsia"/>
          <w:sz w:val="32"/>
          <w:lang w:val="en-US" w:eastAsia="zh-CN"/>
        </w:rPr>
        <w:t>，</w:t>
      </w:r>
      <w:r>
        <w:rPr>
          <w:rFonts w:hint="eastAsia" w:ascii="Times New Roman" w:hAnsi="Times New Roman"/>
          <w:sz w:val="32"/>
          <w:lang w:val="en-US" w:eastAsia="zh-CN"/>
        </w:rPr>
        <w:t>实现诚信三师提供有力支持。</w:t>
      </w:r>
    </w:p>
    <w:p w14:paraId="041003E6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  <w:t>（四）依法规范行政决策程序，全面落实政务公开制度</w:t>
      </w:r>
      <w:r>
        <w:rPr>
          <w:rFonts w:hint="eastAsia" w:cs="Times New Roman"/>
          <w:kern w:val="2"/>
          <w:sz w:val="32"/>
          <w:szCs w:val="32"/>
          <w:lang w:val="en-US" w:eastAsia="zh-CN" w:bidi="ar-SA"/>
        </w:rPr>
        <w:t>。</w:t>
      </w:r>
      <w:r>
        <w:rPr>
          <w:rFonts w:hint="eastAsia" w:ascii="Times New Roman" w:hAnsi="Times New Roman" w:cs="Times New Roman"/>
          <w:b/>
          <w:bCs/>
          <w:kern w:val="2"/>
          <w:sz w:val="32"/>
          <w:szCs w:val="32"/>
          <w:lang w:val="en-US" w:eastAsia="zh-CN" w:bidi="ar-SA"/>
        </w:rPr>
        <w:t>一是严格落实“三重一大”民主决策制度。</w:t>
      </w:r>
      <w:r>
        <w:rPr>
          <w:rFonts w:hint="eastAsia" w:cs="Times New Roman"/>
          <w:kern w:val="2"/>
          <w:sz w:val="32"/>
          <w:szCs w:val="32"/>
          <w:lang w:val="en-US" w:eastAsia="zh-CN" w:bidi="ar-SA"/>
        </w:rPr>
        <w:t>重大问题由委党组集体讨论决定，严格规范重大行政决策行为，聘请律师事务所专业律师为法律顾问，在重大决策、规范性文件的制定和评估、信息公开、合同签订等方面提供法律咨询服务，不断加强事前事中事后监管有效衔接，切实保障各项工作在法治轨道上有序开展。</w:t>
      </w:r>
      <w:r>
        <w:rPr>
          <w:rFonts w:hint="eastAsia" w:ascii="Times New Roman" w:hAnsi="Times New Roman" w:cs="Times New Roman"/>
          <w:b/>
          <w:bCs/>
          <w:kern w:val="2"/>
          <w:sz w:val="32"/>
          <w:szCs w:val="32"/>
          <w:lang w:val="en-US" w:eastAsia="zh-CN" w:bidi="ar-SA"/>
        </w:rPr>
        <w:t>二是不断健全政务公开长效机制。</w:t>
      </w:r>
      <w:r>
        <w:rPr>
          <w:rFonts w:hint="eastAsia" w:cs="Times New Roman"/>
          <w:kern w:val="2"/>
          <w:sz w:val="32"/>
          <w:szCs w:val="32"/>
          <w:lang w:val="en-US" w:eastAsia="zh-CN" w:bidi="ar-SA"/>
        </w:rPr>
        <w:t>严格落实政务信息公开工作，始终坚持依法行政，坚持“公开为原则，不公开为例外”，按照便利、实用、有效原则，及时准确在师市政府网站公开机构职能及内设机构设置、行政权力运行流程图等内容。</w:t>
      </w:r>
    </w:p>
    <w:p w14:paraId="7BE08FEA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  <w:t>（五）推进严格规范公正文明执法，推进立法完善制度保障</w:t>
      </w:r>
      <w:r>
        <w:rPr>
          <w:rFonts w:hint="eastAsia" w:cs="Times New Roman"/>
          <w:kern w:val="2"/>
          <w:sz w:val="32"/>
          <w:szCs w:val="32"/>
          <w:lang w:val="en-US" w:eastAsia="zh-CN" w:bidi="ar-SA"/>
        </w:rPr>
        <w:t>。</w:t>
      </w: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是严格落实行政执法人员资格管理和持证上岗制度</w:t>
      </w: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结合承担的执法职责和执法工作，强化执法队伍建设，今年选派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人员参加司法局组织的两期依法行政培训，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人取得行政执法证，充实行政执法力量。</w:t>
      </w:r>
      <w:r>
        <w:rPr>
          <w:rFonts w:hint="eastAsia" w:ascii="Times New Roman" w:hAnsi="Times New Roman" w:cs="Times New Roman"/>
          <w:b/>
          <w:bCs/>
          <w:kern w:val="2"/>
          <w:sz w:val="32"/>
          <w:szCs w:val="32"/>
          <w:lang w:val="en-US" w:eastAsia="zh-CN" w:bidi="ar-SA"/>
        </w:rPr>
        <w:t>二是严格执行行政执法“三项制度”。</w:t>
      </w:r>
      <w:r>
        <w:rPr>
          <w:rFonts w:hint="eastAsia" w:cs="Times New Roman"/>
          <w:kern w:val="2"/>
          <w:sz w:val="32"/>
          <w:szCs w:val="32"/>
          <w:lang w:val="en-US" w:eastAsia="zh-CN" w:bidi="ar-SA"/>
        </w:rPr>
        <w:t>始终坚持“谁执法、谁负责”“谁审核、谁把关”的原则，严格落实主体责任，压紧行政执法人员工作责任，不断提升执法规范化水平，不断增强行政执法工作的透明度，严格落实行政处罚、行政强制、行政许可案件每月报送制度。2025年，发改委未发现简单粗暴执法、野蛮执法等不作为乱作为以及乱检</w:t>
      </w:r>
      <w:r>
        <w:rPr>
          <w:rFonts w:hint="eastAsia" w:cs="Times New Roman"/>
          <w:b w:val="0"/>
          <w:bCs w:val="0"/>
          <w:kern w:val="2"/>
          <w:sz w:val="32"/>
          <w:szCs w:val="32"/>
          <w:lang w:val="en-US" w:eastAsia="zh-CN" w:bidi="ar-SA"/>
        </w:rPr>
        <w:t>查</w:t>
      </w:r>
      <w:r>
        <w:rPr>
          <w:rFonts w:hint="eastAsia" w:cs="Times New Roman"/>
          <w:kern w:val="2"/>
          <w:sz w:val="32"/>
          <w:szCs w:val="32"/>
          <w:lang w:val="en-US" w:eastAsia="zh-CN" w:bidi="ar-SA"/>
        </w:rPr>
        <w:t>、乱罚款等问题。</w:t>
      </w:r>
      <w:r>
        <w:rPr>
          <w:rFonts w:hint="eastAsia" w:ascii="Times New Roman" w:hAnsi="Times New Roman" w:cs="Times New Roman"/>
          <w:b/>
          <w:bCs/>
          <w:kern w:val="2"/>
          <w:sz w:val="32"/>
          <w:szCs w:val="32"/>
          <w:lang w:val="en-US" w:eastAsia="zh-CN" w:bidi="ar-SA"/>
        </w:rPr>
        <w:t>三是</w:t>
      </w:r>
      <w:r>
        <w:rPr>
          <w:rFonts w:hint="eastAsia" w:cs="Times New Roman"/>
          <w:b/>
          <w:bCs/>
          <w:kern w:val="2"/>
          <w:sz w:val="32"/>
          <w:szCs w:val="32"/>
          <w:lang w:val="en-US" w:eastAsia="zh-CN" w:bidi="ar-SA"/>
        </w:rPr>
        <w:t>扎实推动</w:t>
      </w:r>
      <w:r>
        <w:rPr>
          <w:rFonts w:hint="eastAsia" w:ascii="Times New Roman" w:hAnsi="Times New Roman" w:cs="Times New Roman"/>
          <w:b/>
          <w:bCs/>
          <w:kern w:val="2"/>
          <w:sz w:val="32"/>
          <w:szCs w:val="32"/>
          <w:lang w:val="en-US" w:eastAsia="zh-CN" w:bidi="ar-SA"/>
        </w:rPr>
        <w:t>法治建设与发改主责主业深度融合。</w:t>
      </w:r>
      <w:r>
        <w:rPr>
          <w:rFonts w:hint="eastAsia" w:ascii="Times New Roman" w:hAnsi="Times New Roman" w:cs="Times New Roman"/>
          <w:b w:val="0"/>
          <w:bCs w:val="0"/>
          <w:kern w:val="2"/>
          <w:sz w:val="32"/>
          <w:szCs w:val="32"/>
          <w:lang w:val="en-US" w:eastAsia="zh-CN" w:bidi="ar-SA"/>
        </w:rPr>
        <w:t>立足师市实际与发改职责，兼顾“当下解困”与“长远筑基”，推动实践成果法制化。推进公共租赁住房租金标准、居民用气阶梯价格制度、管道燃气配气价格及调整终端销售价格、天然气上下游价格联动机制等4部行政规范性文件出台实施。</w:t>
      </w:r>
    </w:p>
    <w:p w14:paraId="17C75F1E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二、存在的问题</w:t>
      </w:r>
    </w:p>
    <w:p w14:paraId="113559CF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cs="Times New Roman"/>
          <w:kern w:val="2"/>
          <w:sz w:val="32"/>
          <w:szCs w:val="32"/>
          <w:lang w:val="en-US" w:eastAsia="zh-CN" w:bidi="ar-SA"/>
        </w:rPr>
        <w:t>师市发改系统党员领导干部运用法治思维和法治方式深化改革、推动发展的能力和水平还有待提高，行政执法人员的法治素养与依法行政的要求相比还有一定差距。法治学习教育方式内容还有待创新，在进一步结合发改工作典型案例、重大执法疑难问题，提高依法行政培训实效方面还有待加强。</w:t>
      </w:r>
    </w:p>
    <w:p w14:paraId="7E0D4316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三、下一步工作计划</w:t>
      </w:r>
    </w:p>
    <w:p w14:paraId="4DE96A57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  <w:t>（一）加大法治学习力度。</w:t>
      </w:r>
      <w:r>
        <w:rPr>
          <w:rFonts w:hint="eastAsia" w:cs="Times New Roman"/>
          <w:kern w:val="2"/>
          <w:sz w:val="32"/>
          <w:szCs w:val="32"/>
          <w:lang w:val="en-US" w:eastAsia="zh-CN" w:bidi="ar-SA"/>
        </w:rPr>
        <w:t>坚持以习近平法治思想为指导，严格履行党政主要负责人为推进法治建设第一责任人的职责规定，坚持领导干部带头学、深入学，积极营造“尊法、学法、守法、用法”的良好氛围，切实将法治理念、法治思维贯穿于发展改革工作全过程，确保各项工作在法治轨道上平稳运行。</w:t>
      </w:r>
    </w:p>
    <w:p w14:paraId="08D9B14C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  <w:t>（二）加快行政权责落实。</w:t>
      </w:r>
      <w:r>
        <w:rPr>
          <w:rFonts w:hint="eastAsia" w:cs="Times New Roman"/>
          <w:kern w:val="2"/>
          <w:sz w:val="32"/>
          <w:szCs w:val="32"/>
          <w:lang w:val="en-US" w:eastAsia="zh-CN" w:bidi="ar-SA"/>
        </w:rPr>
        <w:t>根据法律法规规章及部门“三定”方案规定，及时动态调整权责清单，进一步整合、缕清执法职能配置，全面推进严格规范公正文明执法。紧密结合职能职责，加大力度打造法治化、市场化、国际化营商环境，深入推进“放管服”改革，切实提升服务能力，提高行政效能。</w:t>
      </w:r>
    </w:p>
    <w:p w14:paraId="2DE9FCA5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  <w:t>（三）强化法治宣传教育。</w:t>
      </w:r>
      <w:r>
        <w:rPr>
          <w:rFonts w:hint="eastAsia" w:cs="Times New Roman"/>
          <w:kern w:val="2"/>
          <w:sz w:val="32"/>
          <w:szCs w:val="32"/>
          <w:lang w:val="en-US" w:eastAsia="zh-CN" w:bidi="ar-SA"/>
        </w:rPr>
        <w:t>结合发改业务工作实际和各种专项法律法规宣传月、宣传周、纪念日，采取丰富多彩、寓教于乐的形式，积极开展法治学习宣传教育，加强以案释法、以案普法，提高行政执法人员的综合素质和业务水平，全面提高发改系统法治意识，为促进法治政府建设、推进高质量发展提供有力保障。</w:t>
      </w:r>
    </w:p>
    <w:p w14:paraId="6A412B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4EB93B09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default"/>
          <w:lang w:val="en-US" w:eastAsia="zh-CN"/>
        </w:rPr>
      </w:pPr>
      <w:bookmarkStart w:id="0" w:name="_GoBack"/>
      <w:bookmarkEnd w:id="0"/>
    </w:p>
    <w:p w14:paraId="3BFF2F84">
      <w:pPr>
        <w:pStyle w:val="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20" w:lineRule="exact"/>
        <w:ind w:left="0" w:leftChars="0" w:right="640" w:rightChars="200" w:firstLine="0" w:firstLineChars="0"/>
        <w:jc w:val="righ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第三师图木舒克市发展和改革委员会</w:t>
      </w:r>
    </w:p>
    <w:p w14:paraId="2BFB50FC">
      <w:pPr>
        <w:pStyle w:val="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20" w:lineRule="exact"/>
        <w:ind w:left="0" w:leftChars="0" w:right="640" w:rightChars="200" w:firstLine="4480" w:firstLineChars="14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</w:t>
      </w:r>
      <w:r>
        <w:rPr>
          <w:rFonts w:hint="eastAsia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</w:t>
      </w:r>
      <w:r>
        <w:rPr>
          <w:rFonts w:hint="eastAsia" w:cs="Times New Roman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eastAsia" w:cs="Times New Roman"/>
          <w:sz w:val="32"/>
          <w:szCs w:val="32"/>
          <w:lang w:val="en-US" w:eastAsia="zh-CN"/>
        </w:rPr>
        <w:t>27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</w:t>
      </w:r>
    </w:p>
    <w:sectPr>
      <w:footerReference r:id="rId5" w:type="default"/>
      <w:pgSz w:w="11906" w:h="16838"/>
      <w:pgMar w:top="2098" w:right="1474" w:bottom="1984" w:left="1587" w:header="851" w:footer="1587" w:gutter="0"/>
      <w:pgNumType w:fmt="decimal" w:start="1"/>
      <w:cols w:space="72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A973F0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2472055</wp:posOffset>
              </wp:positionH>
              <wp:positionV relativeFrom="paragraph">
                <wp:posOffset>303530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C6E62A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94.65pt;margin-top:23.9pt;height:144pt;width:144pt;mso-position-horizontal-relative:margin;mso-wrap-style:none;z-index:251661312;mso-width-relative:page;mso-height-relative:page;" filled="f" stroked="f" coordsize="21600,21600" o:gfxdata="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pPLPr1wAAAAoBAAAPAAAAAAAAAAEAIAAAACIAAABkcnMvZG93bnJldi54bWxQ&#10;SwECFAAUAAAACACHTuJAJIJGtDECAABhBAAADgAAAAAAAAABACAAAAAm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6C6E62A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26195F"/>
    <w:rsid w:val="1BD1349E"/>
    <w:rsid w:val="363B5498"/>
    <w:rsid w:val="53987CA3"/>
    <w:rsid w:val="5D642A3B"/>
    <w:rsid w:val="6B993ED2"/>
    <w:rsid w:val="715F52AB"/>
    <w:rsid w:val="7526195F"/>
    <w:rsid w:val="779A3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rPr>
      <w:rFonts w:ascii="Times New Roman" w:hAnsi="Times New Roman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Body Text First Indent"/>
    <w:basedOn w:val="2"/>
    <w:qFormat/>
    <w:uiPriority w:val="99"/>
    <w:pPr>
      <w:spacing w:line="560" w:lineRule="exact"/>
      <w:ind w:firstLine="888" w:firstLineChars="200"/>
    </w:pPr>
    <w:rPr>
      <w:rFonts w:ascii="Times New Roman" w:hAnsi="Times New Roman"/>
    </w:rPr>
  </w:style>
  <w:style w:type="paragraph" w:styleId="7">
    <w:name w:val="Body Text First Indent 2"/>
    <w:basedOn w:val="3"/>
    <w:next w:val="6"/>
    <w:qFormat/>
    <w:uiPriority w:val="0"/>
    <w:pPr>
      <w:spacing w:line="560" w:lineRule="exact"/>
      <w:ind w:firstLine="420" w:firstLineChars="200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2170</Words>
  <Characters>2194</Characters>
  <Lines>0</Lines>
  <Paragraphs>0</Paragraphs>
  <TotalTime>1</TotalTime>
  <ScaleCrop>false</ScaleCrop>
  <LinksUpToDate>false</LinksUpToDate>
  <CharactersWithSpaces>2194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2025-11-25T09:12:00Z</dcterms:created>
  <dc:creator>得过且过</dc:creator>
  <cp:lastModifiedBy>得过且过</cp:lastModifiedBy>
  <cp:lastPrinted>2025-11-27T09:54:00Z</cp:lastPrinted>
  <dcterms:modified xsi:type="dcterms:W3CDTF">2025-11-28T09:11:51Z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20C08681B26C43F08BC971FE477F4E14_11</vt:lpwstr>
  </property>
  <property fmtid="{D5CDD505-2E9C-101B-9397-08002B2CF9AE}" pid="4" name="KSOTemplateDocerSaveRecord">
    <vt:lpwstr>eyJoZGlkIjoiN2YzNjBkOTgyNWQ1YTMxYzM3MzMwNWFiODNmOWIzYWMiLCJ1c2VySWQiOiIzMDE1OTc3NTQifQ==</vt:lpwstr>
  </property>
</Properties>
</file>