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  <w:bookmarkStart w:id="2" w:name="_GoBack"/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2</w:t>
      </w:r>
      <w:bookmarkEnd w:id="2"/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75" w:beforeAutospacing="0" w:after="0" w:afterAutospacing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第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三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师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图木舒克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市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团场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公益性公墓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0" w:afterLines="22" w:afterAutospacing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管理办法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（暂行）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0" w:lineRule="exact"/>
        <w:jc w:val="center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lang w:val="en-US" w:eastAsia="zh-CN"/>
        </w:rPr>
        <w:t>送审稿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</w:rPr>
        <w:t>）</w:t>
      </w:r>
    </w:p>
    <w:p>
      <w:pPr>
        <w:spacing w:beforeAutospacing="0" w:afterAutospacing="0"/>
        <w:rPr>
          <w:rFonts w:hint="default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55" w:beforeLines="81" w:beforeAutospacing="0" w:after="253" w:afterAutospacing="0" w:line="58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第一章 总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</w:pPr>
      <w:r>
        <w:rPr>
          <w:rFonts w:hint="eastAsia" w:ascii="楷体_GB2312" w:hAnsi="楷体_GB2312" w:eastAsia="楷体_GB2312" w:cs="楷体_GB2312"/>
          <w:snapToGrid/>
          <w:color w:val="auto"/>
          <w:kern w:val="2"/>
          <w:sz w:val="32"/>
          <w:szCs w:val="32"/>
          <w:lang w:val="en-US" w:eastAsia="zh-CN" w:bidi="ar-SA"/>
        </w:rPr>
        <w:t xml:space="preserve">第一条 </w:t>
      </w:r>
      <w:r>
        <w:rPr>
          <w:rFonts w:hint="default" w:ascii="Times New Roman" w:hAnsi="Times New Roman" w:eastAsia="仿宋_GB2312" w:cs="Times New Roman"/>
          <w:snapToGrid/>
          <w:color w:val="auto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t>为规范师市公益性公墓的建设和管理，节约土地资源，保护生态环境，推进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instrText xml:space="preserve"> HYPERLINK "http://baike.sogou.com/lemma/ShowInnerLink.htm?lemmaId=9020418&amp;ss_c=ssc.citiao.link" \t "_blank" </w:instrTex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t>殡葬改革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t>，根据国务院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instrText xml:space="preserve"> HYPERLINK "http://baike.sogou.com/lemma/ShowInnerLink.htm?lemmaId=6506953" </w:instrTex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t>《殡葬管理条例》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t>《新疆维吾尔自治区实施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t>〈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t>殡葬管理条例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t>〉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t>若干规定》（2008修正）《新疆维吾尔自治区殡葬服务收费标准》等规定，结合师市实际，制定本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t>指导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t>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</w:pPr>
      <w:r>
        <w:rPr>
          <w:rFonts w:hint="eastAsia" w:ascii="楷体_GB2312" w:hAnsi="楷体_GB2312" w:eastAsia="楷体_GB2312" w:cs="楷体_GB2312"/>
          <w:snapToGrid/>
          <w:color w:val="auto"/>
          <w:kern w:val="2"/>
          <w:sz w:val="32"/>
          <w:szCs w:val="32"/>
          <w:lang w:val="en-US" w:eastAsia="zh-CN" w:bidi="ar-SA"/>
        </w:rPr>
        <w:t xml:space="preserve">第二条 </w:t>
      </w:r>
      <w:r>
        <w:rPr>
          <w:rFonts w:hint="default" w:ascii="Times New Roman" w:hAnsi="Times New Roman" w:eastAsia="仿宋_GB2312" w:cs="Times New Roman"/>
          <w:snapToGrid/>
          <w:color w:val="auto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Times New Roman" w:hAnsi="Times New Roman" w:eastAsia="仿宋_GB2312" w:cs="Times New Roman"/>
          <w:snapToGrid/>
          <w:color w:val="auto"/>
          <w:kern w:val="2"/>
          <w:sz w:val="32"/>
          <w:szCs w:val="32"/>
          <w:lang w:val="en-US" w:eastAsia="zh-CN" w:bidi="ar-SA"/>
        </w:rPr>
        <w:t>采取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t>积极稳妥、循序渐进、分步实施的方式，逐步进行火葬，提高火化率,结合师市实际设置过渡期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</w:pPr>
      <w:r>
        <w:rPr>
          <w:rFonts w:hint="eastAsia" w:ascii="楷体_GB2312" w:hAnsi="楷体_GB2312" w:eastAsia="楷体_GB2312" w:cs="楷体_GB2312"/>
          <w:snapToGrid/>
          <w:color w:val="auto"/>
          <w:kern w:val="2"/>
          <w:sz w:val="32"/>
          <w:szCs w:val="32"/>
          <w:lang w:val="en-US" w:eastAsia="zh-CN" w:bidi="ar-SA"/>
        </w:rPr>
        <w:t>第三条</w:t>
      </w:r>
      <w:r>
        <w:rPr>
          <w:rFonts w:hint="default" w:ascii="Times New Roman" w:hAnsi="Times New Roman" w:eastAsia="仿宋_GB2312" w:cs="Times New Roman"/>
          <w:snapToGrid/>
          <w:color w:val="auto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Times New Roman" w:hAnsi="Times New Roman" w:eastAsia="仿宋_GB2312" w:cs="Times New Roman"/>
          <w:snapToGrid/>
          <w:color w:val="auto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t>本指导办法所指公益性公墓是指由团场审核同意后，报师市民政局审批建立，不以营利为目的，为本团场公民提供遗体或骨灰安葬服务的公共墓地。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</w:pPr>
      <w:r>
        <w:rPr>
          <w:rFonts w:hint="eastAsia" w:ascii="楷体_GB2312" w:hAnsi="楷体_GB2312" w:eastAsia="楷体_GB2312" w:cs="楷体_GB2312"/>
          <w:snapToGrid/>
          <w:color w:val="auto"/>
          <w:kern w:val="2"/>
          <w:sz w:val="32"/>
          <w:szCs w:val="32"/>
          <w:lang w:val="en-US" w:eastAsia="zh-CN" w:bidi="ar-SA"/>
        </w:rPr>
        <w:t>第四条</w:t>
      </w:r>
      <w:r>
        <w:rPr>
          <w:rFonts w:hint="default" w:ascii="Times New Roman" w:hAnsi="Times New Roman" w:eastAsia="仿宋_GB2312" w:cs="Times New Roman"/>
          <w:snapToGrid/>
          <w:color w:val="auto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Times New Roman" w:hAnsi="Times New Roman" w:eastAsia="仿宋_GB2312" w:cs="Times New Roman"/>
          <w:snapToGrid/>
          <w:color w:val="auto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t>师市民政局主管师市殡葬管理工作，各团场负责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t>本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t>区域内的殡葬管理工作，公安、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instrText xml:space="preserve"> HYPERLINK "http://baike.sogou.com/lemma/ShowInnerLink.htm?lemmaId=324665&amp;ss_c=ssc.citiao.link" \t "_blank" </w:instrTex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t>市场监督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t>、发展改革、住建、自然资源和规划、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t>卫生健康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t>、环境保护、交通、民族宗教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t>事务局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t>等有关行政主管部门，应按照各自职责，共同做好公墓有关监督管理工作。</w:t>
      </w:r>
      <w:bookmarkStart w:id="0" w:name="para4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315" w:beforeLines="100" w:beforeAutospacing="0" w:after="315" w:afterLines="100" w:afterAutospacing="0"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第二章 公墓建设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napToGrid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snapToGrid/>
          <w:color w:val="auto"/>
          <w:kern w:val="2"/>
          <w:sz w:val="32"/>
          <w:szCs w:val="32"/>
          <w:lang w:val="en-US" w:eastAsia="zh-CN" w:bidi="ar-SA"/>
        </w:rPr>
        <w:t>第五条</w:t>
      </w:r>
      <w:r>
        <w:rPr>
          <w:rFonts w:hint="default" w:ascii="Times New Roman" w:hAnsi="Times New Roman" w:eastAsia="仿宋_GB2312" w:cs="Times New Roman"/>
          <w:snapToGrid/>
          <w:color w:val="auto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Times New Roman" w:hAnsi="Times New Roman" w:eastAsia="仿宋_GB2312" w:cs="Times New Roman"/>
          <w:snapToGrid/>
          <w:color w:val="auto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t>公益性公墓发展规划应当列入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instrText xml:space="preserve"> HYPERLINK "http://baike.sogou.com/lemma/ShowInnerLink.htm?lemmaId=290173&amp;ss_c=ssc.citiao.link" \t "_blank" </w:instrTex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t>土地利用总体规划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instrText xml:space="preserve"> HYPERLINK "http://baike.sogou.com/lemma/ShowInnerLink.htm?lemmaId=82124154&amp;ss_c=ssc.citiao.link" \t "_blank" </w:instrTex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t>城乡规划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t>，建设公益性公墓应当遵循节约土地资源、保护耕地和林地、便于管理、扩大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instrText xml:space="preserve"> HYPERLINK "http://baike.sogou.com/lemma/ShowInnerLink.htm?lemmaId=2910149&amp;ss_c=ssc.citiao.link" \t "_blank" </w:instrTex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t>绿色空间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t>、保护生态环境、保障基本需求、方便群众的原则，充分利用荒山地或不宜耕种的瘠地进行规划和建设，不得破坏当地的生态环境，严禁占用耕地、林地。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hint="default" w:ascii="楷体_GB2312" w:hAnsi="楷体_GB2312" w:eastAsia="楷体_GB2312" w:cs="楷体_GB2312"/>
          <w:snapToGrid/>
          <w:color w:val="auto"/>
          <w:kern w:val="2"/>
          <w:sz w:val="32"/>
          <w:szCs w:val="32"/>
          <w:lang w:val="en-US" w:eastAsia="zh-CN" w:bidi="ar-SA"/>
        </w:rPr>
        <w:t>第</w:t>
      </w:r>
      <w:r>
        <w:rPr>
          <w:rFonts w:hint="eastAsia" w:ascii="楷体_GB2312" w:hAnsi="楷体_GB2312" w:eastAsia="楷体_GB2312" w:cs="楷体_GB2312"/>
          <w:snapToGrid/>
          <w:color w:val="auto"/>
          <w:kern w:val="2"/>
          <w:sz w:val="32"/>
          <w:szCs w:val="32"/>
          <w:lang w:val="en-US" w:eastAsia="zh-CN" w:bidi="ar-SA"/>
        </w:rPr>
        <w:t>六</w:t>
      </w:r>
      <w:r>
        <w:rPr>
          <w:rFonts w:hint="default" w:ascii="楷体_GB2312" w:hAnsi="楷体_GB2312" w:eastAsia="楷体_GB2312" w:cs="楷体_GB2312"/>
          <w:snapToGrid/>
          <w:color w:val="auto"/>
          <w:kern w:val="2"/>
          <w:sz w:val="32"/>
          <w:szCs w:val="32"/>
          <w:lang w:val="en-US" w:eastAsia="zh-CN" w:bidi="ar-SA"/>
        </w:rPr>
        <w:t xml:space="preserve">条 </w:t>
      </w:r>
      <w:r>
        <w:rPr>
          <w:rFonts w:hint="eastAsia" w:ascii="Times New Roman" w:hAnsi="Times New Roman" w:eastAsia="仿宋_GB2312" w:cs="Times New Roman"/>
          <w:snapToGrid/>
          <w:color w:val="auto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t>公益性公墓墓穴面积，土葬遗体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单人墓占地不得超过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平方米（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即3米×2米的规格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），双人墓占地不得超过8平方米（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即4米×2米的规格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）；埋葬骨灰，单人墓占地不得超过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平方米（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即1米×1米的规格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），双人墓占地不得超过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1.5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平方米（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即1.5米×1米的规格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</w:pPr>
      <w:r>
        <w:rPr>
          <w:rFonts w:hint="default" w:ascii="楷体_GB2312" w:hAnsi="楷体_GB2312" w:eastAsia="楷体_GB2312" w:cs="楷体_GB2312"/>
          <w:snapToGrid/>
          <w:color w:val="auto"/>
          <w:kern w:val="2"/>
          <w:sz w:val="32"/>
          <w:szCs w:val="32"/>
          <w:lang w:val="en-US" w:eastAsia="zh-CN" w:bidi="ar-SA"/>
        </w:rPr>
        <w:t>第</w:t>
      </w:r>
      <w:r>
        <w:rPr>
          <w:rFonts w:hint="eastAsia" w:ascii="楷体_GB2312" w:hAnsi="楷体_GB2312" w:eastAsia="楷体_GB2312" w:cs="楷体_GB2312"/>
          <w:snapToGrid/>
          <w:color w:val="auto"/>
          <w:kern w:val="2"/>
          <w:sz w:val="32"/>
          <w:szCs w:val="32"/>
          <w:lang w:val="en-US" w:eastAsia="zh-CN" w:bidi="ar-SA"/>
        </w:rPr>
        <w:t>七</w:t>
      </w:r>
      <w:r>
        <w:rPr>
          <w:rFonts w:hint="default" w:ascii="楷体_GB2312" w:hAnsi="楷体_GB2312" w:eastAsia="楷体_GB2312" w:cs="楷体_GB2312"/>
          <w:snapToGrid/>
          <w:color w:val="auto"/>
          <w:kern w:val="2"/>
          <w:sz w:val="32"/>
          <w:szCs w:val="32"/>
          <w:lang w:val="en-US" w:eastAsia="zh-CN" w:bidi="ar-SA"/>
        </w:rPr>
        <w:t>条</w:t>
      </w:r>
      <w:r>
        <w:rPr>
          <w:rFonts w:hint="default" w:ascii="Times New Roman" w:hAnsi="Times New Roman" w:eastAsia="仿宋_GB2312" w:cs="Times New Roman"/>
          <w:snapToGrid/>
          <w:color w:val="auto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Times New Roman" w:hAnsi="Times New Roman" w:eastAsia="仿宋_GB2312" w:cs="Times New Roman"/>
          <w:snapToGrid/>
          <w:color w:val="auto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t>公益性公墓墓型要按照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 w:bidi="zh-CN"/>
        </w:rPr>
        <w:t>“普遍均等、惠及全民”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t>的原则进行建造，要满足不同客户群体要求，不铺张浪费，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t>由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t>团场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t>进行监督管理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t>提倡和鼓励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instrText xml:space="preserve"> HYPERLINK "http://baike.sogou.com/lemma/ShowInnerLink.htm?lemmaId=64675051" </w:instrTex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t>树葬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instrText xml:space="preserve"> HYPERLINK "http://baike.sogou.com/lemma/ShowInnerLink.htm?lemmaId=66154614&amp;ss_c=ssc.citiao.link" \t "_blank" </w:instrTex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t>壁葬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t>等生态节地安葬方式。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</w:pPr>
      <w:r>
        <w:rPr>
          <w:rFonts w:hint="default" w:ascii="楷体_GB2312" w:hAnsi="楷体_GB2312" w:eastAsia="楷体_GB2312" w:cs="楷体_GB2312"/>
          <w:snapToGrid/>
          <w:color w:val="auto"/>
          <w:kern w:val="2"/>
          <w:sz w:val="32"/>
          <w:szCs w:val="32"/>
          <w:lang w:val="en-US" w:eastAsia="zh-CN" w:bidi="ar-SA"/>
        </w:rPr>
        <w:t>第</w:t>
      </w:r>
      <w:r>
        <w:rPr>
          <w:rFonts w:hint="eastAsia" w:ascii="楷体_GB2312" w:hAnsi="楷体_GB2312" w:eastAsia="楷体_GB2312" w:cs="楷体_GB2312"/>
          <w:snapToGrid/>
          <w:color w:val="auto"/>
          <w:kern w:val="2"/>
          <w:sz w:val="32"/>
          <w:szCs w:val="32"/>
          <w:lang w:val="en-US" w:eastAsia="zh-CN" w:bidi="ar-SA"/>
        </w:rPr>
        <w:t>八</w:t>
      </w:r>
      <w:r>
        <w:rPr>
          <w:rFonts w:hint="default" w:ascii="楷体_GB2312" w:hAnsi="楷体_GB2312" w:eastAsia="楷体_GB2312" w:cs="楷体_GB2312"/>
          <w:snapToGrid/>
          <w:color w:val="auto"/>
          <w:kern w:val="2"/>
          <w:sz w:val="32"/>
          <w:szCs w:val="32"/>
          <w:lang w:val="en-US" w:eastAsia="zh-CN" w:bidi="ar-SA"/>
        </w:rPr>
        <w:t>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团场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t>公益性公墓由团场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t>审核同意，报师市民政局审批建立。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31" w:beforeLines="74" w:beforeAutospacing="0" w:after="0" w:afterAutospacing="0" w:line="560" w:lineRule="exact"/>
        <w:ind w:firstLine="640" w:firstLineChars="200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 w:bidi="ar-SA"/>
        </w:rPr>
        <w:t>第三章 公墓管理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31" w:beforeLines="74" w:beforeAutospacing="0" w:after="0" w:afterAutospacing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</w:pPr>
      <w:r>
        <w:rPr>
          <w:rFonts w:hint="default" w:ascii="楷体_GB2312" w:hAnsi="楷体_GB2312" w:eastAsia="楷体_GB2312" w:cs="楷体_GB2312"/>
          <w:snapToGrid/>
          <w:color w:val="auto"/>
          <w:kern w:val="2"/>
          <w:sz w:val="32"/>
          <w:szCs w:val="32"/>
          <w:lang w:val="en-US" w:eastAsia="zh-CN" w:bidi="ar-SA"/>
        </w:rPr>
        <w:t>第</w:t>
      </w:r>
      <w:r>
        <w:rPr>
          <w:rFonts w:hint="eastAsia" w:ascii="楷体_GB2312" w:hAnsi="楷体_GB2312" w:eastAsia="楷体_GB2312" w:cs="楷体_GB2312"/>
          <w:snapToGrid/>
          <w:color w:val="auto"/>
          <w:kern w:val="2"/>
          <w:sz w:val="32"/>
          <w:szCs w:val="32"/>
          <w:lang w:val="en-US" w:eastAsia="zh-CN" w:bidi="ar-SA"/>
        </w:rPr>
        <w:t>九</w:t>
      </w:r>
      <w:r>
        <w:rPr>
          <w:rFonts w:hint="default" w:ascii="楷体_GB2312" w:hAnsi="楷体_GB2312" w:eastAsia="楷体_GB2312" w:cs="楷体_GB2312"/>
          <w:snapToGrid/>
          <w:color w:val="auto"/>
          <w:kern w:val="2"/>
          <w:sz w:val="32"/>
          <w:szCs w:val="32"/>
          <w:lang w:val="en-US" w:eastAsia="zh-CN" w:bidi="ar-SA"/>
        </w:rPr>
        <w:t>条</w:t>
      </w:r>
      <w:r>
        <w:rPr>
          <w:rFonts w:hint="default" w:ascii="Times New Roman" w:hAnsi="Times New Roman" w:eastAsia="仿宋_GB2312" w:cs="Times New Roman"/>
          <w:snapToGrid/>
          <w:color w:val="auto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Times New Roman" w:hAnsi="Times New Roman" w:eastAsia="仿宋_GB2312" w:cs="Times New Roman"/>
          <w:snapToGrid/>
          <w:color w:val="auto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t>公墓分为公益性公墓和经营性公墓。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t>由团场监督管理，严禁在公墓区外安葬遗体。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t>未经批准，公益性公墓不得对外经营殡仪业务。经营性公墓的墓穴管理费一次性收取最长不得超过二十年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t>墓穴用地要节约。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  <w:lang w:eastAsia="zh-CN"/>
        </w:rPr>
      </w:pPr>
      <w:r>
        <w:rPr>
          <w:rFonts w:hint="default" w:ascii="楷体_GB2312" w:hAnsi="楷体_GB2312" w:eastAsia="楷体_GB2312" w:cs="楷体_GB2312"/>
          <w:snapToGrid/>
          <w:color w:val="auto"/>
          <w:kern w:val="2"/>
          <w:sz w:val="32"/>
          <w:szCs w:val="32"/>
          <w:lang w:val="en-US" w:eastAsia="zh-CN" w:bidi="ar-SA"/>
        </w:rPr>
        <w:t xml:space="preserve">第十条 </w:t>
      </w:r>
      <w:r>
        <w:rPr>
          <w:rFonts w:hint="eastAsia" w:ascii="Times New Roman" w:hAnsi="Times New Roman" w:eastAsia="仿宋_GB2312" w:cs="Times New Roman"/>
          <w:snapToGrid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t>公益性公墓墓地应当保持整洁、肃穆。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</w:pPr>
      <w:r>
        <w:rPr>
          <w:rFonts w:hint="default" w:ascii="楷体_GB2312" w:hAnsi="楷体_GB2312" w:eastAsia="楷体_GB2312" w:cs="楷体_GB2312"/>
          <w:snapToGrid/>
          <w:color w:val="auto"/>
          <w:kern w:val="2"/>
          <w:sz w:val="32"/>
          <w:szCs w:val="32"/>
          <w:lang w:val="en-US" w:eastAsia="zh-CN" w:bidi="ar-SA"/>
        </w:rPr>
        <w:t>第十</w:t>
      </w:r>
      <w:r>
        <w:rPr>
          <w:rFonts w:hint="eastAsia" w:ascii="楷体_GB2312" w:hAnsi="楷体_GB2312" w:eastAsia="楷体_GB2312" w:cs="楷体_GB2312"/>
          <w:snapToGrid/>
          <w:color w:val="auto"/>
          <w:kern w:val="2"/>
          <w:sz w:val="32"/>
          <w:szCs w:val="32"/>
          <w:lang w:val="en-US" w:eastAsia="zh-CN" w:bidi="ar-SA"/>
        </w:rPr>
        <w:t>一</w:t>
      </w:r>
      <w:r>
        <w:rPr>
          <w:rFonts w:hint="default" w:ascii="楷体_GB2312" w:hAnsi="楷体_GB2312" w:eastAsia="楷体_GB2312" w:cs="楷体_GB2312"/>
          <w:snapToGrid/>
          <w:color w:val="auto"/>
          <w:kern w:val="2"/>
          <w:sz w:val="32"/>
          <w:szCs w:val="32"/>
          <w:lang w:val="en-US" w:eastAsia="zh-CN" w:bidi="ar-SA"/>
        </w:rPr>
        <w:t>条</w:t>
      </w: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Times New Roman" w:hAnsi="Times New Roman" w:eastAsia="仿宋_GB2312" w:cs="Times New Roman"/>
          <w:snapToGrid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t>公益性公墓建设应符合消防安全管理，杜绝安全隐患，防止发生各类安全事故。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</w:pPr>
      <w:r>
        <w:rPr>
          <w:rFonts w:hint="default" w:ascii="楷体_GB2312" w:hAnsi="楷体_GB2312" w:eastAsia="楷体_GB2312" w:cs="楷体_GB2312"/>
          <w:snapToGrid/>
          <w:color w:val="auto"/>
          <w:kern w:val="2"/>
          <w:sz w:val="32"/>
          <w:szCs w:val="32"/>
          <w:lang w:val="en-US" w:eastAsia="zh-CN" w:bidi="ar-SA"/>
        </w:rPr>
        <w:t>第十</w:t>
      </w:r>
      <w:r>
        <w:rPr>
          <w:rFonts w:hint="eastAsia" w:ascii="楷体_GB2312" w:hAnsi="楷体_GB2312" w:eastAsia="楷体_GB2312" w:cs="楷体_GB2312"/>
          <w:snapToGrid/>
          <w:color w:val="auto"/>
          <w:kern w:val="2"/>
          <w:sz w:val="32"/>
          <w:szCs w:val="32"/>
          <w:lang w:val="en-US" w:eastAsia="zh-CN" w:bidi="ar-SA"/>
        </w:rPr>
        <w:t>二</w:t>
      </w:r>
      <w:r>
        <w:rPr>
          <w:rFonts w:hint="default" w:ascii="楷体_GB2312" w:hAnsi="楷体_GB2312" w:eastAsia="楷体_GB2312" w:cs="楷体_GB2312"/>
          <w:snapToGrid/>
          <w:color w:val="auto"/>
          <w:kern w:val="2"/>
          <w:sz w:val="32"/>
          <w:szCs w:val="32"/>
          <w:lang w:val="en-US" w:eastAsia="zh-CN" w:bidi="ar-SA"/>
        </w:rPr>
        <w:t>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t>严格按照《新疆维吾尔自治区殡葬服务收费管理暂行办法》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t>等相关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t>规定执行。具体的收费标准，由发改物价部门会同民政部门按照非营利并兼顾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t>公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t>民承受能力的原则核定。所有收取的费用全部用于公墓的管理、维护和建设，严禁挪作他用。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t>禁止巧立明目乱计价、乱收费，禁止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instrText xml:space="preserve"> HYPERLINK "http://baike.sogou.com/lemma/ShowInnerLink.htm?lemmaId=61729842" </w:instrTex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t>炒买炒卖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t>墓穴。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t>公益性公墓对低保对象、特殊困难群众实行全免费政策。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1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</w:pPr>
      <w:r>
        <w:rPr>
          <w:rFonts w:hint="default" w:ascii="楷体_GB2312" w:hAnsi="楷体_GB2312" w:eastAsia="楷体_GB2312" w:cs="楷体_GB2312"/>
          <w:snapToGrid/>
          <w:color w:val="auto"/>
          <w:kern w:val="2"/>
          <w:sz w:val="32"/>
          <w:szCs w:val="32"/>
          <w:lang w:val="en-US" w:eastAsia="zh-CN" w:bidi="ar-SA"/>
        </w:rPr>
        <w:t>第十</w:t>
      </w:r>
      <w:r>
        <w:rPr>
          <w:rFonts w:hint="eastAsia" w:ascii="楷体_GB2312" w:hAnsi="楷体_GB2312" w:eastAsia="楷体_GB2312" w:cs="楷体_GB2312"/>
          <w:snapToGrid/>
          <w:color w:val="auto"/>
          <w:kern w:val="2"/>
          <w:sz w:val="32"/>
          <w:szCs w:val="32"/>
          <w:lang w:val="en-US" w:eastAsia="zh-CN" w:bidi="ar-SA"/>
        </w:rPr>
        <w:t>三</w:t>
      </w:r>
      <w:r>
        <w:rPr>
          <w:rFonts w:hint="default" w:ascii="楷体_GB2312" w:hAnsi="楷体_GB2312" w:eastAsia="楷体_GB2312" w:cs="楷体_GB2312"/>
          <w:snapToGrid/>
          <w:color w:val="auto"/>
          <w:kern w:val="2"/>
          <w:sz w:val="32"/>
          <w:szCs w:val="32"/>
          <w:lang w:val="en-US" w:eastAsia="zh-CN" w:bidi="ar-SA"/>
        </w:rPr>
        <w:t>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t>公益性公墓应建立墓穴(格位)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instrText xml:space="preserve"> HYPERLINK "http://baike.sogou.com/lemma/ShowInnerLink.htm?lemmaId=748445&amp;ss_c=ssc.citiao.link" \t "_blank" </w:instrTex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t>管理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t>档案。档案内容按照民政部、国家档案局《关于印发〈殡葬服务单位业务档案管理办法〉的通知》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t>等相关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t>规定执行。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</w:pPr>
      <w:r>
        <w:rPr>
          <w:rFonts w:hint="default" w:ascii="楷体_GB2312" w:hAnsi="楷体_GB2312" w:eastAsia="楷体_GB2312" w:cs="楷体_GB2312"/>
          <w:snapToGrid/>
          <w:color w:val="auto"/>
          <w:kern w:val="2"/>
          <w:sz w:val="32"/>
          <w:szCs w:val="32"/>
          <w:lang w:val="en-US" w:eastAsia="zh-CN" w:bidi="ar-SA"/>
        </w:rPr>
        <w:t>第十</w:t>
      </w:r>
      <w:r>
        <w:rPr>
          <w:rFonts w:hint="eastAsia" w:ascii="楷体_GB2312" w:hAnsi="楷体_GB2312" w:eastAsia="楷体_GB2312" w:cs="楷体_GB2312"/>
          <w:snapToGrid/>
          <w:color w:val="auto"/>
          <w:kern w:val="2"/>
          <w:sz w:val="32"/>
          <w:szCs w:val="32"/>
          <w:lang w:val="en-US" w:eastAsia="zh-CN" w:bidi="ar-SA"/>
        </w:rPr>
        <w:t>四</w:t>
      </w:r>
      <w:r>
        <w:rPr>
          <w:rFonts w:hint="default" w:ascii="楷体_GB2312" w:hAnsi="楷体_GB2312" w:eastAsia="楷体_GB2312" w:cs="楷体_GB2312"/>
          <w:snapToGrid/>
          <w:color w:val="auto"/>
          <w:kern w:val="2"/>
          <w:sz w:val="32"/>
          <w:szCs w:val="32"/>
          <w:lang w:val="en-US" w:eastAsia="zh-CN" w:bidi="ar-SA"/>
        </w:rPr>
        <w:t>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t>公益性公墓实行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t>日常监管制度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t>，团场公墓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t>日常监管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t>由团场社会事务办公室组织实施，对发现的问题，及时通报处理。</w:t>
      </w:r>
      <w:bookmarkStart w:id="1" w:name="para6"/>
      <w:bookmarkEnd w:id="1"/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56" w:beforeLines="82" w:beforeAutospacing="0" w:after="255" w:afterLines="81" w:afterAutospacing="0" w:line="560" w:lineRule="exact"/>
        <w:jc w:val="center"/>
        <w:textAlignment w:val="auto"/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eastAsia="zh-CN"/>
        </w:rPr>
        <w:t>第四章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  <w:t xml:space="preserve"> 法律责任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</w:pPr>
      <w:r>
        <w:rPr>
          <w:rFonts w:hint="default" w:ascii="楷体_GB2312" w:hAnsi="楷体_GB2312" w:eastAsia="楷体_GB2312" w:cs="楷体_GB2312"/>
          <w:snapToGrid/>
          <w:color w:val="auto"/>
          <w:kern w:val="2"/>
          <w:sz w:val="32"/>
          <w:szCs w:val="32"/>
          <w:lang w:val="en-US" w:eastAsia="zh-CN" w:bidi="ar-SA"/>
        </w:rPr>
        <w:t>第十</w:t>
      </w:r>
      <w:r>
        <w:rPr>
          <w:rFonts w:hint="eastAsia" w:ascii="楷体_GB2312" w:hAnsi="楷体_GB2312" w:eastAsia="楷体_GB2312" w:cs="楷体_GB2312"/>
          <w:snapToGrid/>
          <w:color w:val="auto"/>
          <w:kern w:val="2"/>
          <w:sz w:val="32"/>
          <w:szCs w:val="32"/>
          <w:lang w:val="en-US" w:eastAsia="zh-CN" w:bidi="ar-SA"/>
        </w:rPr>
        <w:t>五</w:t>
      </w:r>
      <w:r>
        <w:rPr>
          <w:rFonts w:hint="default" w:ascii="楷体_GB2312" w:hAnsi="楷体_GB2312" w:eastAsia="楷体_GB2312" w:cs="楷体_GB2312"/>
          <w:snapToGrid/>
          <w:color w:val="auto"/>
          <w:kern w:val="2"/>
          <w:sz w:val="32"/>
          <w:szCs w:val="32"/>
          <w:lang w:val="en-US" w:eastAsia="zh-CN" w:bidi="ar-SA"/>
        </w:rPr>
        <w:t xml:space="preserve">条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t>公益性公墓实行属地管理。对违反公墓管理规定的，按照国务院《殡葬管理条例》有关规定予以处罚。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</w:pPr>
      <w:r>
        <w:rPr>
          <w:rFonts w:hint="default" w:ascii="楷体_GB2312" w:hAnsi="楷体_GB2312" w:eastAsia="楷体_GB2312" w:cs="楷体_GB2312"/>
          <w:snapToGrid/>
          <w:color w:val="auto"/>
          <w:kern w:val="2"/>
          <w:sz w:val="32"/>
          <w:szCs w:val="32"/>
          <w:lang w:val="en-US" w:eastAsia="zh-CN" w:bidi="ar-SA"/>
        </w:rPr>
        <w:t>第</w:t>
      </w:r>
      <w:r>
        <w:rPr>
          <w:rFonts w:hint="eastAsia" w:ascii="楷体_GB2312" w:hAnsi="楷体_GB2312" w:eastAsia="楷体_GB2312" w:cs="楷体_GB2312"/>
          <w:snapToGrid/>
          <w:color w:val="auto"/>
          <w:kern w:val="2"/>
          <w:sz w:val="32"/>
          <w:szCs w:val="32"/>
          <w:lang w:val="en-US" w:eastAsia="zh-CN" w:bidi="ar-SA"/>
        </w:rPr>
        <w:t>十六</w:t>
      </w:r>
      <w:r>
        <w:rPr>
          <w:rFonts w:hint="default" w:ascii="楷体_GB2312" w:hAnsi="楷体_GB2312" w:eastAsia="楷体_GB2312" w:cs="楷体_GB2312"/>
          <w:snapToGrid/>
          <w:color w:val="auto"/>
          <w:kern w:val="2"/>
          <w:sz w:val="32"/>
          <w:szCs w:val="32"/>
          <w:lang w:val="en-US" w:eastAsia="zh-CN" w:bidi="ar-SA"/>
        </w:rPr>
        <w:t>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t>墓穴占地面积超过自治区人民政府规定的标准，由民政部门责令限期改正，没收违法所得，可以并处违法所得1倍以上3倍以下的罚款。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</w:pPr>
      <w:r>
        <w:rPr>
          <w:rFonts w:hint="default" w:ascii="楷体_GB2312" w:hAnsi="楷体_GB2312" w:eastAsia="楷体_GB2312" w:cs="楷体_GB2312"/>
          <w:snapToGrid/>
          <w:color w:val="auto"/>
          <w:kern w:val="2"/>
          <w:sz w:val="32"/>
          <w:szCs w:val="32"/>
          <w:lang w:val="en-US" w:eastAsia="zh-CN" w:bidi="ar-SA"/>
        </w:rPr>
        <w:t>第</w:t>
      </w:r>
      <w:r>
        <w:rPr>
          <w:rFonts w:hint="eastAsia" w:ascii="楷体_GB2312" w:hAnsi="楷体_GB2312" w:eastAsia="楷体_GB2312" w:cs="楷体_GB2312"/>
          <w:snapToGrid/>
          <w:color w:val="auto"/>
          <w:kern w:val="2"/>
          <w:sz w:val="32"/>
          <w:szCs w:val="32"/>
          <w:lang w:val="en-US" w:eastAsia="zh-CN" w:bidi="ar-SA"/>
        </w:rPr>
        <w:t>十七</w:t>
      </w:r>
      <w:r>
        <w:rPr>
          <w:rFonts w:hint="default" w:ascii="楷体_GB2312" w:hAnsi="楷体_GB2312" w:eastAsia="楷体_GB2312" w:cs="楷体_GB2312"/>
          <w:snapToGrid/>
          <w:color w:val="auto"/>
          <w:kern w:val="2"/>
          <w:sz w:val="32"/>
          <w:szCs w:val="32"/>
          <w:lang w:val="en-US" w:eastAsia="zh-CN" w:bidi="ar-SA"/>
        </w:rPr>
        <w:t>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t>将应当火化的遗体土葬，或者在公益性墓地以外的其他地方埋葬遗体、建造坟墓的，由民政部门责令限期改正。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7" w:beforeLines="72" w:beforeAutospacing="0" w:after="159" w:afterLines="50" w:afterAutospacing="0" w:line="560" w:lineRule="exact"/>
        <w:ind w:left="638" w:leftChars="304" w:firstLine="2880" w:firstLineChars="9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第五章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附则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32"/>
          <w:sz w:val="32"/>
          <w:szCs w:val="32"/>
        </w:rPr>
      </w:pPr>
      <w:r>
        <w:rPr>
          <w:rFonts w:hint="default" w:ascii="楷体_GB2312" w:hAnsi="楷体_GB2312" w:eastAsia="楷体_GB2312" w:cs="楷体_GB2312"/>
          <w:snapToGrid/>
          <w:color w:val="auto"/>
          <w:kern w:val="2"/>
          <w:sz w:val="32"/>
          <w:szCs w:val="32"/>
          <w:lang w:val="en-US" w:eastAsia="zh-CN" w:bidi="ar-SA"/>
        </w:rPr>
        <w:t>第</w:t>
      </w:r>
      <w:r>
        <w:rPr>
          <w:rFonts w:hint="eastAsia" w:ascii="楷体_GB2312" w:hAnsi="楷体_GB2312" w:eastAsia="楷体_GB2312" w:cs="楷体_GB2312"/>
          <w:snapToGrid/>
          <w:color w:val="auto"/>
          <w:kern w:val="2"/>
          <w:sz w:val="32"/>
          <w:szCs w:val="32"/>
          <w:lang w:val="en-US" w:eastAsia="zh-CN" w:bidi="ar-SA"/>
        </w:rPr>
        <w:t>十八</w:t>
      </w:r>
      <w:r>
        <w:rPr>
          <w:rFonts w:hint="default" w:ascii="楷体_GB2312" w:hAnsi="楷体_GB2312" w:eastAsia="楷体_GB2312" w:cs="楷体_GB2312"/>
          <w:snapToGrid/>
          <w:color w:val="auto"/>
          <w:kern w:val="2"/>
          <w:sz w:val="32"/>
          <w:szCs w:val="32"/>
          <w:lang w:val="en-US" w:eastAsia="zh-CN" w:bidi="ar-SA"/>
        </w:rPr>
        <w:t>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t>本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t>指导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t>办法由第三师图木舒克市民政局负责解释。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8" w:leftChars="304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</w:pPr>
      <w:r>
        <w:rPr>
          <w:rFonts w:hint="eastAsia" w:ascii="楷体_GB2312" w:hAnsi="楷体_GB2312" w:eastAsia="楷体_GB2312" w:cs="楷体_GB2312"/>
          <w:snapToGrid/>
          <w:color w:val="auto"/>
          <w:kern w:val="2"/>
          <w:sz w:val="32"/>
          <w:szCs w:val="32"/>
          <w:lang w:val="en-US" w:eastAsia="zh-CN" w:bidi="ar-SA"/>
        </w:rPr>
        <w:t>第十九</w:t>
      </w:r>
      <w:r>
        <w:rPr>
          <w:rFonts w:hint="default" w:ascii="楷体_GB2312" w:hAnsi="楷体_GB2312" w:eastAsia="楷体_GB2312" w:cs="楷体_GB2312"/>
          <w:snapToGrid/>
          <w:color w:val="auto"/>
          <w:kern w:val="2"/>
          <w:sz w:val="32"/>
          <w:szCs w:val="32"/>
          <w:lang w:val="en-US" w:eastAsia="zh-CN" w:bidi="ar-SA"/>
        </w:rPr>
        <w:t>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t>本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t>指导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  <w:t>办法自公布之日起施行。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8" w:leftChars="304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zh-CN"/>
        </w:rPr>
      </w:pPr>
    </w:p>
    <w:sectPr>
      <w:footerReference r:id="rId3" w:type="default"/>
      <w:footerReference r:id="rId4" w:type="even"/>
      <w:pgSz w:w="11906" w:h="16838"/>
      <w:pgMar w:top="2098" w:right="1474" w:bottom="2001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Style w:val="13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3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3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3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3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Style w:val="13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Style w:val="13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Style w:val="13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3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13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3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Style w:val="13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7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5NTZmZTBlNTk1MmI0MWJmMzJmMThhYzY1M2JhN2IifQ=="/>
  </w:docVars>
  <w:rsids>
    <w:rsidRoot w:val="00AB34E8"/>
    <w:rsid w:val="00024B07"/>
    <w:rsid w:val="0002549A"/>
    <w:rsid w:val="00095D92"/>
    <w:rsid w:val="000C0658"/>
    <w:rsid w:val="000F3F16"/>
    <w:rsid w:val="00125D17"/>
    <w:rsid w:val="00125D19"/>
    <w:rsid w:val="00152D55"/>
    <w:rsid w:val="00165E3B"/>
    <w:rsid w:val="001C1D35"/>
    <w:rsid w:val="001F1180"/>
    <w:rsid w:val="002D2D4A"/>
    <w:rsid w:val="00327C6C"/>
    <w:rsid w:val="003737DA"/>
    <w:rsid w:val="003F07C1"/>
    <w:rsid w:val="00447DEB"/>
    <w:rsid w:val="00473437"/>
    <w:rsid w:val="0049331B"/>
    <w:rsid w:val="004A4847"/>
    <w:rsid w:val="004B2304"/>
    <w:rsid w:val="00574921"/>
    <w:rsid w:val="00600971"/>
    <w:rsid w:val="0063141E"/>
    <w:rsid w:val="00686859"/>
    <w:rsid w:val="0068719F"/>
    <w:rsid w:val="00691706"/>
    <w:rsid w:val="00750201"/>
    <w:rsid w:val="007764D8"/>
    <w:rsid w:val="007B00B4"/>
    <w:rsid w:val="007E7958"/>
    <w:rsid w:val="008A068F"/>
    <w:rsid w:val="008F2017"/>
    <w:rsid w:val="009439C8"/>
    <w:rsid w:val="00945E85"/>
    <w:rsid w:val="00967ED1"/>
    <w:rsid w:val="009B6DB2"/>
    <w:rsid w:val="009F3EC2"/>
    <w:rsid w:val="00A05642"/>
    <w:rsid w:val="00A162E1"/>
    <w:rsid w:val="00A20F52"/>
    <w:rsid w:val="00A73CD0"/>
    <w:rsid w:val="00A803D0"/>
    <w:rsid w:val="00A834E8"/>
    <w:rsid w:val="00AB34E8"/>
    <w:rsid w:val="00AE2060"/>
    <w:rsid w:val="00AF7F32"/>
    <w:rsid w:val="00BE31E6"/>
    <w:rsid w:val="00C04430"/>
    <w:rsid w:val="00C2001C"/>
    <w:rsid w:val="00CC611B"/>
    <w:rsid w:val="00D1026C"/>
    <w:rsid w:val="00D2041E"/>
    <w:rsid w:val="00D25A56"/>
    <w:rsid w:val="00D61663"/>
    <w:rsid w:val="00D618C5"/>
    <w:rsid w:val="00D61C5B"/>
    <w:rsid w:val="00D63767"/>
    <w:rsid w:val="00D67F08"/>
    <w:rsid w:val="00E576E5"/>
    <w:rsid w:val="00EB304B"/>
    <w:rsid w:val="00EF2BA2"/>
    <w:rsid w:val="00F05A8A"/>
    <w:rsid w:val="00F21079"/>
    <w:rsid w:val="00F35E99"/>
    <w:rsid w:val="00F93709"/>
    <w:rsid w:val="00FF195F"/>
    <w:rsid w:val="00FF7E96"/>
    <w:rsid w:val="04AB69DF"/>
    <w:rsid w:val="055C132D"/>
    <w:rsid w:val="07B0770E"/>
    <w:rsid w:val="0A8A2498"/>
    <w:rsid w:val="0B9338A9"/>
    <w:rsid w:val="0C513D70"/>
    <w:rsid w:val="0D3F756A"/>
    <w:rsid w:val="0E8D71C5"/>
    <w:rsid w:val="10075F8F"/>
    <w:rsid w:val="101F10AF"/>
    <w:rsid w:val="14BB370C"/>
    <w:rsid w:val="150C071E"/>
    <w:rsid w:val="1683121A"/>
    <w:rsid w:val="18C12908"/>
    <w:rsid w:val="19831126"/>
    <w:rsid w:val="1AA808E9"/>
    <w:rsid w:val="1B3E3557"/>
    <w:rsid w:val="1DB00010"/>
    <w:rsid w:val="205E0A9B"/>
    <w:rsid w:val="21AC5D6C"/>
    <w:rsid w:val="21B41788"/>
    <w:rsid w:val="23260B36"/>
    <w:rsid w:val="24E30CCB"/>
    <w:rsid w:val="25A83965"/>
    <w:rsid w:val="2609650F"/>
    <w:rsid w:val="26F849A7"/>
    <w:rsid w:val="279A73FD"/>
    <w:rsid w:val="2AAF6DC1"/>
    <w:rsid w:val="2F3F3C18"/>
    <w:rsid w:val="2F95119F"/>
    <w:rsid w:val="326D07C5"/>
    <w:rsid w:val="38220F09"/>
    <w:rsid w:val="39EA5233"/>
    <w:rsid w:val="3C9E1C4F"/>
    <w:rsid w:val="3D105695"/>
    <w:rsid w:val="3F192D97"/>
    <w:rsid w:val="46FA4345"/>
    <w:rsid w:val="4A282B58"/>
    <w:rsid w:val="4ADD0DED"/>
    <w:rsid w:val="50E66630"/>
    <w:rsid w:val="51134562"/>
    <w:rsid w:val="53F56136"/>
    <w:rsid w:val="569D042A"/>
    <w:rsid w:val="5A1F5F61"/>
    <w:rsid w:val="5B81502D"/>
    <w:rsid w:val="5BFE583E"/>
    <w:rsid w:val="5DD045BE"/>
    <w:rsid w:val="5DE4064A"/>
    <w:rsid w:val="63A50FA5"/>
    <w:rsid w:val="65243ADB"/>
    <w:rsid w:val="66147FAF"/>
    <w:rsid w:val="676902B6"/>
    <w:rsid w:val="686D628B"/>
    <w:rsid w:val="69197DE4"/>
    <w:rsid w:val="6A210D19"/>
    <w:rsid w:val="6AD61809"/>
    <w:rsid w:val="6E616A0F"/>
    <w:rsid w:val="6E884B70"/>
    <w:rsid w:val="6EAD18BF"/>
    <w:rsid w:val="6EF851FE"/>
    <w:rsid w:val="6F2F0BC4"/>
    <w:rsid w:val="6F4F7373"/>
    <w:rsid w:val="71771B4C"/>
    <w:rsid w:val="72D80D10"/>
    <w:rsid w:val="763153CD"/>
    <w:rsid w:val="77925D7B"/>
    <w:rsid w:val="7BAD7D3D"/>
    <w:rsid w:val="7E7751B5"/>
    <w:rsid w:val="7F1932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="宋体"/>
      <w:color w:val="000000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3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b/>
      <w:bCs/>
      <w:color w:val="auto"/>
      <w:sz w:val="27"/>
      <w:szCs w:val="27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after="120" w:afterLines="0" w:line="240" w:lineRule="auto"/>
      <w:ind w:left="420" w:leftChars="200" w:firstLine="420"/>
    </w:pPr>
    <w:rPr>
      <w:rFonts w:ascii="Times New Roman"/>
      <w:sz w:val="32"/>
    </w:rPr>
  </w:style>
  <w:style w:type="paragraph" w:styleId="3">
    <w:name w:val="Body Text Indent"/>
    <w:basedOn w:val="1"/>
    <w:unhideWhenUsed/>
    <w:qFormat/>
    <w:uiPriority w:val="99"/>
    <w:pPr>
      <w:spacing w:line="580" w:lineRule="atLeast"/>
      <w:ind w:firstLine="699" w:firstLineChars="200"/>
    </w:pPr>
    <w:rPr>
      <w:rFonts w:ascii="仿宋_GB2312"/>
      <w:sz w:val="36"/>
    </w:rPr>
  </w:style>
  <w:style w:type="paragraph" w:styleId="6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basedOn w:val="11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石河子市民政局</Company>
  <Pages>4</Pages>
  <Words>1468</Words>
  <Characters>1481</Characters>
  <Lines>22</Lines>
  <Paragraphs>6</Paragraphs>
  <TotalTime>22</TotalTime>
  <ScaleCrop>false</ScaleCrop>
  <LinksUpToDate>false</LinksUpToDate>
  <CharactersWithSpaces>1526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2021-02-24T02:31:00Z</dcterms:created>
  <dc:creator>苏业翔</dc:creator>
  <cp:lastModifiedBy>Frver199210</cp:lastModifiedBy>
  <cp:lastPrinted>2022-08-24T09:03:39Z</cp:lastPrinted>
  <dcterms:modified xsi:type="dcterms:W3CDTF">2022-08-24T09:03:57Z</dcterms:modified>
  <dc:title>第一章 总 则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F07E95DA04F441EDA7E17238E1D40EA3</vt:lpwstr>
  </property>
</Properties>
</file>